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B97DA2">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E120F6">
              <w:rPr>
                <w:rFonts w:ascii="Tahoma" w:hAnsi="Tahoma" w:cs="Tahoma"/>
                <w:b/>
                <w:bCs/>
                <w:sz w:val="22"/>
                <w:szCs w:val="22"/>
              </w:rPr>
              <w:t>1</w:t>
            </w:r>
            <w:r w:rsidR="00B97DA2">
              <w:rPr>
                <w:rFonts w:ascii="Tahoma" w:hAnsi="Tahoma" w:cs="Tahoma"/>
                <w:b/>
                <w:bCs/>
                <w:sz w:val="22"/>
                <w:szCs w:val="22"/>
              </w:rPr>
              <w:t>9</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6B77B3" w:rsidRDefault="001E21BC" w:rsidP="006B77B3">
            <w:pPr>
              <w:rPr>
                <w:rStyle w:val="af0"/>
              </w:rPr>
            </w:pPr>
            <w:r>
              <w:rPr>
                <w:rStyle w:val="af0"/>
                <w:b/>
                <w:i w:val="0"/>
              </w:rPr>
              <w:tab/>
            </w:r>
            <w:r w:rsidR="006B77B3" w:rsidRPr="006B77B3">
              <w:rPr>
                <w:rStyle w:val="af0"/>
              </w:rPr>
              <w:t>ΑΔΑ: 63ΛΖΩΨΑ-ΨΙ9</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B97DA2" w:rsidRPr="00B97DA2">
              <w:rPr>
                <w:rFonts w:ascii="Tahoma" w:hAnsi="Tahoma" w:cs="Tahoma"/>
                <w:b/>
                <w:sz w:val="20"/>
                <w:szCs w:val="20"/>
              </w:rPr>
              <w:t>Παραίτηση από το ένδικο βοήθημα της αίτησης αναίρεσης κατά της υπ’ αριθμ. 247/2019 τελεσίδικης απόφασης του Μονομελούς Εφετείου Ιωαννίνων</w:t>
            </w:r>
            <w:r w:rsidR="00DA06FF" w:rsidRPr="00F97934">
              <w:rPr>
                <w:rFonts w:ascii="Tahoma" w:hAnsi="Tahoma" w:cs="Tahoma"/>
                <w:b/>
                <w:kern w:val="20"/>
                <w:sz w:val="20"/>
                <w:szCs w:val="20"/>
              </w:rPr>
              <w:t>»</w:t>
            </w:r>
          </w:p>
        </w:tc>
      </w:tr>
    </w:tbl>
    <w:p w:rsidR="00E120F6" w:rsidRDefault="00E120F6"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3119BD" w:rsidRDefault="003119BD" w:rsidP="003119BD">
      <w:pPr>
        <w:spacing w:line="360" w:lineRule="auto"/>
        <w:jc w:val="both"/>
        <w:rPr>
          <w:rFonts w:ascii="Tahoma" w:hAnsi="Tahoma" w:cs="Tahoma"/>
          <w:sz w:val="22"/>
          <w:szCs w:val="22"/>
        </w:rPr>
      </w:pPr>
      <w:r w:rsidRPr="00EC6597">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B97DA2">
        <w:rPr>
          <w:rFonts w:ascii="Tahoma" w:hAnsi="Tahoma" w:cs="Tahoma"/>
          <w:sz w:val="22"/>
          <w:szCs w:val="22"/>
          <w:shd w:val="clear" w:color="auto" w:fill="FFFFFF"/>
        </w:rPr>
        <w:t>4</w:t>
      </w:r>
      <w:r w:rsidRPr="00EC6597">
        <w:rPr>
          <w:rFonts w:ascii="Tahoma" w:hAnsi="Tahoma" w:cs="Tahoma"/>
          <w:sz w:val="22"/>
          <w:szCs w:val="22"/>
          <w:shd w:val="clear" w:color="auto" w:fill="FFFFFF"/>
          <w:vertAlign w:val="superscript"/>
        </w:rPr>
        <w:t>ο</w:t>
      </w:r>
      <w:r w:rsidRPr="00EC6597">
        <w:rPr>
          <w:rFonts w:ascii="Tahoma" w:hAnsi="Tahoma" w:cs="Tahoma"/>
          <w:sz w:val="22"/>
          <w:szCs w:val="22"/>
          <w:shd w:val="clear" w:color="auto" w:fill="FFFFFF"/>
        </w:rPr>
        <w:t xml:space="preserve">  </w:t>
      </w:r>
      <w:r w:rsidR="00E120F6">
        <w:rPr>
          <w:rFonts w:ascii="Tahoma" w:hAnsi="Tahoma" w:cs="Tahoma"/>
          <w:sz w:val="22"/>
          <w:szCs w:val="22"/>
          <w:shd w:val="clear" w:color="auto" w:fill="FFFFFF"/>
        </w:rPr>
        <w:t>έκτακτο</w:t>
      </w:r>
      <w:r w:rsidRPr="00EC6597">
        <w:rPr>
          <w:rFonts w:ascii="Tahoma" w:hAnsi="Tahoma" w:cs="Tahoma"/>
          <w:sz w:val="22"/>
          <w:szCs w:val="22"/>
          <w:shd w:val="clear" w:color="auto" w:fill="FFFFFF"/>
        </w:rPr>
        <w:t xml:space="preserve"> θέμα της ημερήσιας διάταξης </w:t>
      </w:r>
      <w:r w:rsidRPr="00EC6597">
        <w:rPr>
          <w:rStyle w:val="a6"/>
          <w:rFonts w:ascii="Tahoma" w:hAnsi="Tahoma" w:cs="Tahoma"/>
          <w:b w:val="0"/>
          <w:sz w:val="22"/>
          <w:szCs w:val="22"/>
        </w:rPr>
        <w:t>«</w:t>
      </w:r>
      <w:r w:rsidR="00B97DA2" w:rsidRPr="00B97DA2">
        <w:rPr>
          <w:rFonts w:ascii="Tahoma" w:hAnsi="Tahoma" w:cs="Tahoma"/>
          <w:b/>
          <w:sz w:val="22"/>
          <w:szCs w:val="22"/>
        </w:rPr>
        <w:t>Παραίτηση από το ένδικο βοήθημα της αίτησης αναίρεσης κατά της υπ’ αριθμ. 247/2019 τελεσίδικης απόφασης του Μονομελούς Εφετείου Ιωαννίνων</w:t>
      </w:r>
      <w:r w:rsidRPr="00EC6597">
        <w:rPr>
          <w:rFonts w:ascii="Tahoma" w:hAnsi="Tahoma" w:cs="Tahoma"/>
          <w:b/>
          <w:sz w:val="22"/>
          <w:szCs w:val="22"/>
        </w:rPr>
        <w:t>»</w:t>
      </w:r>
      <w:r>
        <w:rPr>
          <w:rFonts w:ascii="Tahoma" w:hAnsi="Tahoma" w:cs="Tahoma"/>
          <w:b/>
          <w:sz w:val="22"/>
          <w:szCs w:val="22"/>
        </w:rPr>
        <w:t xml:space="preserve"> </w:t>
      </w:r>
      <w:r w:rsidRPr="00EC6597">
        <w:rPr>
          <w:rFonts w:ascii="Tahoma" w:hAnsi="Tahoma" w:cs="Tahoma"/>
          <w:sz w:val="22"/>
          <w:szCs w:val="22"/>
        </w:rPr>
        <w:t xml:space="preserve">έθεσε υπόψη του Συμβουλίου τα εξής:  </w:t>
      </w:r>
    </w:p>
    <w:p w:rsidR="00E120F6" w:rsidRPr="00EC6597" w:rsidRDefault="00E120F6" w:rsidP="003119BD">
      <w:pPr>
        <w:spacing w:line="360" w:lineRule="auto"/>
        <w:jc w:val="both"/>
        <w:rPr>
          <w:rFonts w:ascii="Tahoma" w:hAnsi="Tahoma" w:cs="Tahoma"/>
          <w:b/>
          <w:sz w:val="22"/>
          <w:szCs w:val="22"/>
        </w:rPr>
      </w:pPr>
    </w:p>
    <w:p w:rsidR="00B97DA2" w:rsidRPr="00B97DA2" w:rsidRDefault="00B97DA2" w:rsidP="00B97DA2">
      <w:pPr>
        <w:spacing w:line="360" w:lineRule="auto"/>
        <w:ind w:firstLine="360"/>
        <w:jc w:val="both"/>
        <w:rPr>
          <w:rFonts w:ascii="Tahoma" w:hAnsi="Tahoma" w:cs="Tahoma"/>
          <w:bCs/>
          <w:sz w:val="22"/>
          <w:szCs w:val="22"/>
        </w:rPr>
      </w:pPr>
      <w:r w:rsidRPr="00B97DA2">
        <w:rPr>
          <w:rFonts w:ascii="Tahoma" w:hAnsi="Tahoma" w:cs="Tahoma"/>
          <w:sz w:val="22"/>
          <w:szCs w:val="22"/>
          <w:u w:val="single"/>
        </w:rPr>
        <w:t>ΣΥΝΤΟΜΟ ΙΣΤΟΡΙΚΟ ΥΠΟΘΕΣΗΣ:</w:t>
      </w:r>
      <w:r w:rsidRPr="00B97DA2">
        <w:rPr>
          <w:rFonts w:ascii="Tahoma" w:hAnsi="Tahoma" w:cs="Tahoma"/>
          <w:sz w:val="22"/>
          <w:szCs w:val="22"/>
        </w:rPr>
        <w:t xml:space="preserve"> Το Μάρτιο του 2007 έτους, κατόπιν συμφωνίας της ΚΕΔΚΕ με τα συναρμόδια υπουργεία Εσωτερικών και Μεταφορών, προκηρύχθηκε το Επιχειρησιακό Πρόγραμμα «ΣΥΝ-ΚΟΙΝΩΝΙΑ», ευρισκόμενο σε συνάφεια με το ΕΣΠΑ (4</w:t>
      </w:r>
      <w:r w:rsidRPr="00B97DA2">
        <w:rPr>
          <w:rFonts w:ascii="Tahoma" w:hAnsi="Tahoma" w:cs="Tahoma"/>
          <w:sz w:val="22"/>
          <w:szCs w:val="22"/>
          <w:vertAlign w:val="superscript"/>
        </w:rPr>
        <w:t>η</w:t>
      </w:r>
      <w:r w:rsidRPr="00B97DA2">
        <w:rPr>
          <w:rFonts w:ascii="Tahoma" w:hAnsi="Tahoma" w:cs="Tahoma"/>
          <w:sz w:val="22"/>
          <w:szCs w:val="22"/>
        </w:rPr>
        <w:t xml:space="preserve"> Προγραμματική περίοδος 2007-2013) και με το ενοποιημένο Επιχειρησιακό Πρόγραμμα Ενίσχυσης της Προσπελασιμότητας (ΕΠΕΠ) που υλοποιούνταν από τα Υπουργεία ΠΕΧΩΔΕ και Μεταφορών &amp; Επικοινωνιών που κάλυπταν τον τομέα των μεταφορών. </w:t>
      </w:r>
    </w:p>
    <w:p w:rsidR="00B97DA2" w:rsidRPr="00B97DA2" w:rsidRDefault="00B97DA2" w:rsidP="00B97DA2">
      <w:pPr>
        <w:spacing w:line="360" w:lineRule="auto"/>
        <w:ind w:firstLine="360"/>
        <w:jc w:val="both"/>
        <w:rPr>
          <w:rFonts w:ascii="Tahoma" w:hAnsi="Tahoma" w:cs="Tahoma"/>
          <w:sz w:val="22"/>
          <w:szCs w:val="22"/>
        </w:rPr>
      </w:pPr>
      <w:r w:rsidRPr="00B97DA2">
        <w:rPr>
          <w:rFonts w:ascii="Tahoma" w:hAnsi="Tahoma" w:cs="Tahoma"/>
          <w:bCs/>
          <w:sz w:val="22"/>
          <w:szCs w:val="22"/>
        </w:rPr>
        <w:t>Ο Δήμος Αρταίων και ο Δήμος Αμβρακικού, ενδιαφερόμενοι σφόδρα για την υλοποίηση των ανωτέρω σκοπών</w:t>
      </w:r>
      <w:r w:rsidRPr="00B97DA2">
        <w:rPr>
          <w:rFonts w:ascii="Tahoma" w:hAnsi="Tahoma" w:cs="Tahoma"/>
          <w:sz w:val="22"/>
          <w:szCs w:val="22"/>
        </w:rPr>
        <w:t xml:space="preserve">, κατέθεσαν μέσω ΚΕΔΚΕ τεχνικά δελτία αιτούμενοι τη συμμετοχή τους στο συγκεκριμένο επιχειρησιακό πρόγραμμα, με την πεποίθηση πως η ΚΕΔΚΕ τα συναρμόδια Υπουργεία θα τηρήσουν τα υπεσχημένα ως προς τη χρηματοδότηση του προγράμματος.  </w:t>
      </w:r>
    </w:p>
    <w:p w:rsidR="00B97DA2" w:rsidRPr="00B97DA2" w:rsidRDefault="00B97DA2" w:rsidP="00B97DA2">
      <w:pPr>
        <w:spacing w:line="360" w:lineRule="auto"/>
        <w:ind w:firstLine="720"/>
        <w:jc w:val="both"/>
        <w:rPr>
          <w:rFonts w:ascii="Tahoma" w:hAnsi="Tahoma" w:cs="Tahoma"/>
          <w:bCs/>
          <w:iCs/>
          <w:sz w:val="22"/>
          <w:szCs w:val="22"/>
        </w:rPr>
      </w:pPr>
      <w:r w:rsidRPr="00B97DA2">
        <w:rPr>
          <w:rFonts w:ascii="Tahoma" w:hAnsi="Tahoma" w:cs="Tahoma"/>
          <w:sz w:val="22"/>
          <w:szCs w:val="22"/>
        </w:rPr>
        <w:t xml:space="preserve">Κι ενώ το πρόγραμμα αυτό αρχικώς λειτούργησε χωρίς προβλήματα, ήτοι το ΑΣΤΙΚΟ ΚΤΕΛ παρείχε τις συμφωνηθείσες υπηρεσίες και εκταμιεύτηκε το αντίστοιχο ποσό από το αρμόδιο Υπουργείο, το οποίο απέδωσαν οι Δήμοι Αρταίων και Αμβρακικού εις αυτό ως αμοιβή   εν συνεχεία, στη δεύτερη φάση του προγράμματος, το Ελληνικό Δημόσιο, ως υπόχρεο για τη χρηματοδότηση του προγράμματος, αδικαιολόγητα και κατά παράβαση των συμφωνηθέντων διέκοψε κάθε καταβολή για τη συγκεκριμένη αιτία, με αποτέλεσμα να δημιουργηθεί προς το ΑΣΤΙΚΟ ΚΤΕΛ οφειλή των ανωτέρω Δήμων (ως άμεσα συμβληθέντων με το ΚΤΕΛ) ποσού </w:t>
      </w:r>
      <w:r w:rsidRPr="00B97DA2">
        <w:rPr>
          <w:rFonts w:ascii="Tahoma" w:hAnsi="Tahoma" w:cs="Tahoma"/>
          <w:bCs/>
          <w:iCs/>
          <w:sz w:val="22"/>
          <w:szCs w:val="22"/>
        </w:rPr>
        <w:t>132.362,99 €.</w:t>
      </w:r>
    </w:p>
    <w:p w:rsidR="00B97DA2" w:rsidRPr="00B97DA2" w:rsidRDefault="00B97DA2" w:rsidP="00B97DA2">
      <w:pPr>
        <w:spacing w:line="360" w:lineRule="auto"/>
        <w:ind w:firstLine="720"/>
        <w:jc w:val="both"/>
        <w:rPr>
          <w:rFonts w:ascii="Tahoma" w:hAnsi="Tahoma" w:cs="Tahoma"/>
          <w:sz w:val="22"/>
          <w:szCs w:val="22"/>
        </w:rPr>
      </w:pPr>
      <w:r w:rsidRPr="00B97DA2">
        <w:rPr>
          <w:rFonts w:ascii="Tahoma" w:hAnsi="Tahoma" w:cs="Tahoma"/>
          <w:bCs/>
          <w:iCs/>
          <w:sz w:val="22"/>
          <w:szCs w:val="22"/>
        </w:rPr>
        <w:t xml:space="preserve">Κατόπιν αυτών </w:t>
      </w:r>
      <w:r w:rsidRPr="00B97DA2">
        <w:rPr>
          <w:rFonts w:ascii="Tahoma" w:hAnsi="Tahoma" w:cs="Tahoma"/>
          <w:sz w:val="22"/>
          <w:szCs w:val="22"/>
        </w:rPr>
        <w:t>τ</w:t>
      </w:r>
      <w:r w:rsidRPr="00B97DA2">
        <w:rPr>
          <w:rFonts w:ascii="Tahoma" w:hAnsi="Tahoma" w:cs="Tahoma"/>
          <w:bCs/>
          <w:iCs/>
          <w:sz w:val="22"/>
          <w:szCs w:val="22"/>
        </w:rPr>
        <w:t xml:space="preserve">ο ΑΣΤΙΚΟ ΚΤΕΛ ΑΡΤΑΣ άσκησε κατά του Δήμου Αρταίων τη με αρ. κατάθεσης 958/2013 αγωγή του ενώπιον του Μονομελούς Πρωτοδικείου Άρτας, ζητώντας το ποσό των 132.362,99 €, ως αμοιβή από σύμβαση παροχής υπηρεσιών μεταφοράς στα πλαίσια του προγράμματος «ΣΥΝ – ΚΟΙΝΩΝΙΑ». Ο Δήμος Αρταίων ανακοίνωσε την εν λόγω δίκη και προσεπικάλεσε εις αυτή το Ελληνικό Δημόσιο και την ΚΕΔΚΕ, ως άμεσα υπεύθυνους για την αποπληρωμή του ποσού αυτού, με τη με αρ. κατάθεσης 269/30.3.3015  ανακοίνωση δίκης – προσεπίκληση σε αναγκαστική παρέμβαση –παρεμπίπτουσα αγωγή. </w:t>
      </w:r>
    </w:p>
    <w:p w:rsidR="00B97DA2" w:rsidRPr="00B97DA2" w:rsidRDefault="00B97DA2" w:rsidP="00B97DA2">
      <w:pPr>
        <w:spacing w:line="360" w:lineRule="auto"/>
        <w:ind w:firstLine="720"/>
        <w:jc w:val="both"/>
        <w:rPr>
          <w:rFonts w:ascii="Tahoma" w:hAnsi="Tahoma" w:cs="Tahoma"/>
          <w:bCs/>
          <w:iCs/>
          <w:sz w:val="22"/>
          <w:szCs w:val="22"/>
        </w:rPr>
      </w:pPr>
      <w:r w:rsidRPr="00B97DA2">
        <w:rPr>
          <w:rFonts w:ascii="Tahoma" w:hAnsi="Tahoma" w:cs="Tahoma"/>
          <w:bCs/>
          <w:iCs/>
          <w:sz w:val="22"/>
          <w:szCs w:val="22"/>
        </w:rPr>
        <w:t xml:space="preserve">Επί της αγωγής αυτής εξεδόθη η υπ’ αριθμ. 139/2017 απόφαση του ως άνω Δικαστηρίου, η οποία έκανε δεκτή την αγωγή του ΑΣΤΙΚΟΥ ΚΤΕΛ, καθώς και εν μέρει δεκτή την ως άνω ανακοίνωση δίκης και συγκεκριμένα:  υποχρέωσε το Δήμο μας, ως αμέσως συμβληθέντα με το ΑΣΤΙΚΟ ΚΤΕΛ, να καταβάλει εις αυτό το ανωτέρω αιτούμενο ποσό και αναγνώρισε την υποχρέωση του Ελληνικού Δημοσίου να καταβάλει στο Δήμο μας, το ποσό που θα καταβάλει αυτός, στο ΑΣΤΙΚΟ ΚΤΕΛ. </w:t>
      </w:r>
    </w:p>
    <w:p w:rsidR="00B97DA2" w:rsidRPr="00B97DA2" w:rsidRDefault="00B97DA2" w:rsidP="00B97DA2">
      <w:pPr>
        <w:spacing w:line="360" w:lineRule="auto"/>
        <w:ind w:firstLine="720"/>
        <w:jc w:val="both"/>
        <w:rPr>
          <w:rFonts w:ascii="Tahoma" w:hAnsi="Tahoma" w:cs="Tahoma"/>
          <w:bCs/>
          <w:iCs/>
          <w:sz w:val="22"/>
          <w:szCs w:val="22"/>
        </w:rPr>
      </w:pPr>
      <w:r w:rsidRPr="00B97DA2">
        <w:rPr>
          <w:rFonts w:ascii="Tahoma" w:hAnsi="Tahoma" w:cs="Tahoma"/>
          <w:bCs/>
          <w:iCs/>
          <w:sz w:val="22"/>
          <w:szCs w:val="22"/>
        </w:rPr>
        <w:t xml:space="preserve">Κατά της ανωτέρω απόφασης ο Δήμος Αρταίων άσκησε τη με αρ. κατάθεσης 67/2017 έφεσή του ενώπιον του Μονομελούς Εφετείου Ιωαννίνων επαναλαμβάνοντας τους ισχυρισμούς που είχε προτείνει πρωτοδίκως και συγκεκριμένα: α) ότι αρμόδια είναι τα διοικητικά Δικαστήρια και όχι τα πολιτικά για την εν λόγω υπόθεση, καθώς επρόκειτο για διοικητική σύμβαση και  β) υπεύθυνο για την καταβολή του εν λόγω ποσού στα ΚΤΕΛ ήταν αποκλειστικά το Ελληνικό Δημόσιο.  </w:t>
      </w:r>
    </w:p>
    <w:p w:rsidR="00B97DA2" w:rsidRPr="00B97DA2" w:rsidRDefault="00B97DA2" w:rsidP="00B97DA2">
      <w:pPr>
        <w:spacing w:line="360" w:lineRule="auto"/>
        <w:ind w:firstLine="720"/>
        <w:jc w:val="both"/>
        <w:rPr>
          <w:rFonts w:ascii="Tahoma" w:hAnsi="Tahoma" w:cs="Tahoma"/>
          <w:sz w:val="22"/>
          <w:szCs w:val="22"/>
        </w:rPr>
      </w:pPr>
      <w:r w:rsidRPr="00B97DA2">
        <w:rPr>
          <w:rFonts w:ascii="Tahoma" w:hAnsi="Tahoma" w:cs="Tahoma"/>
          <w:bCs/>
          <w:iCs/>
          <w:sz w:val="22"/>
          <w:szCs w:val="22"/>
        </w:rPr>
        <w:t>Επί της εφέσεως αυτής, εκδόθηκε η υπ’ αριθμ. 247/2019 απόφαση του ανωτέρω Δικαστηρίου η οποία απέρριψε την έφεση, αναγνωρίζοντας τόσο την ύπαρξη της οφειλής όσο και τη δικαιοδοσία των πολιτικών δικαστηρίων έναντι των διοικητικών και συμψήφισε τα δικαστικά έξοδα</w:t>
      </w:r>
      <w:r w:rsidRPr="00B97DA2">
        <w:rPr>
          <w:rFonts w:ascii="Tahoma" w:hAnsi="Tahoma" w:cs="Tahoma"/>
          <w:sz w:val="22"/>
          <w:szCs w:val="22"/>
        </w:rPr>
        <w:t>.</w:t>
      </w:r>
    </w:p>
    <w:p w:rsidR="00B97DA2" w:rsidRPr="00B97DA2" w:rsidRDefault="00B97DA2" w:rsidP="00B97DA2">
      <w:pPr>
        <w:spacing w:line="360" w:lineRule="auto"/>
        <w:ind w:firstLine="720"/>
        <w:jc w:val="both"/>
        <w:rPr>
          <w:rFonts w:ascii="Tahoma" w:hAnsi="Tahoma" w:cs="Tahoma"/>
          <w:sz w:val="22"/>
          <w:szCs w:val="22"/>
        </w:rPr>
      </w:pPr>
      <w:r w:rsidRPr="00B97DA2">
        <w:rPr>
          <w:rFonts w:ascii="Tahoma" w:hAnsi="Tahoma" w:cs="Tahoma"/>
          <w:sz w:val="22"/>
          <w:szCs w:val="22"/>
        </w:rPr>
        <w:t>Ο Δήμος Αρταίων σε όλα τα δικόγραφά του αναγνώρισε την ύπαρξη οφειλής ποσού 132.362,99 € προς το ΑΣΤΙΚΟ ΚΤΕΛ από υπηρεσίες μεταφοράς, με τη μόνη διαφορά ότι θεωρούσε το Ελληνικό Δημόσιο υπεύθυνο για την πληρωμή του. Η ανωτέρω εφετειακή απόφαση αναγνώρισε ότι το ανωτέρω ποσό έπρεπε να αποδώσει στο ΑΣΤΙΚΟ ΚΤΕΛ ο Δήμος Αρταίων, καθώς ήταν ο μόνος που είχε συμβληθεί εγγράφως με αυτό και εν συνεχεία, ότι το Ελληνικό Δημόσιο, έπρεπε να αποδώσει στο Δήμο, το ποσό που αυτός θα κατέβαλε στα ΚΤΕΛ.</w:t>
      </w:r>
    </w:p>
    <w:p w:rsidR="00B97DA2" w:rsidRPr="00B97DA2" w:rsidRDefault="00B97DA2" w:rsidP="00B97DA2">
      <w:pPr>
        <w:spacing w:line="360" w:lineRule="auto"/>
        <w:ind w:firstLine="720"/>
        <w:jc w:val="both"/>
        <w:rPr>
          <w:rFonts w:ascii="Tahoma" w:hAnsi="Tahoma" w:cs="Tahoma"/>
          <w:sz w:val="22"/>
          <w:szCs w:val="22"/>
        </w:rPr>
      </w:pPr>
      <w:r w:rsidRPr="00B97DA2">
        <w:rPr>
          <w:rFonts w:ascii="Tahoma" w:hAnsi="Tahoma" w:cs="Tahoma"/>
          <w:sz w:val="22"/>
          <w:szCs w:val="22"/>
        </w:rPr>
        <w:t xml:space="preserve"> Την  </w:t>
      </w:r>
      <w:r w:rsidRPr="00B97DA2">
        <w:rPr>
          <w:rFonts w:ascii="Tahoma" w:hAnsi="Tahoma" w:cs="Tahoma"/>
          <w:sz w:val="22"/>
          <w:szCs w:val="22"/>
          <w:u w:val="single"/>
        </w:rPr>
        <w:t>7.11.2019</w:t>
      </w:r>
      <w:r w:rsidRPr="00B97DA2">
        <w:rPr>
          <w:rFonts w:ascii="Tahoma" w:hAnsi="Tahoma" w:cs="Tahoma"/>
          <w:sz w:val="22"/>
          <w:szCs w:val="22"/>
        </w:rPr>
        <w:t xml:space="preserve"> το ΑΣΤΙΚΟ ΚΤΕΛ κοινοποίησε την εν λόγω απόφαση στο Δήμο μας, ως εκ τούτου ξεκίνησε η προθεσμία των τριάντα ημερών (κατ’ άρθρο 564 ΚΠολΔ), για την κατάθεση αίτησης αναίρεσης κατά της ως άνω απόφασης.</w:t>
      </w:r>
    </w:p>
    <w:p w:rsidR="00B97DA2" w:rsidRPr="00B97DA2" w:rsidRDefault="00B97DA2" w:rsidP="00B97DA2">
      <w:pPr>
        <w:spacing w:line="360" w:lineRule="auto"/>
        <w:ind w:firstLine="720"/>
        <w:jc w:val="both"/>
        <w:rPr>
          <w:rFonts w:ascii="Tahoma" w:hAnsi="Tahoma" w:cs="Tahoma"/>
          <w:sz w:val="22"/>
          <w:szCs w:val="22"/>
        </w:rPr>
      </w:pPr>
      <w:r w:rsidRPr="00B97DA2">
        <w:rPr>
          <w:rFonts w:ascii="Tahoma" w:hAnsi="Tahoma" w:cs="Tahoma"/>
          <w:sz w:val="22"/>
          <w:szCs w:val="22"/>
        </w:rPr>
        <w:t xml:space="preserve">Κατά της απόφασης αυτής ο Δήμος Αρταίων κατέθεσε τη με αρ. κατάθεσης 52/6.12.2019 αίτηση αναίρεσης, προβάλλοντας </w:t>
      </w:r>
      <w:r w:rsidRPr="00B97DA2">
        <w:rPr>
          <w:rFonts w:ascii="Tahoma" w:hAnsi="Tahoma" w:cs="Tahoma"/>
          <w:sz w:val="22"/>
          <w:szCs w:val="22"/>
          <w:u w:val="single"/>
        </w:rPr>
        <w:t>ως μοναδικό λόγο</w:t>
      </w:r>
      <w:r w:rsidRPr="00B97DA2">
        <w:rPr>
          <w:rFonts w:ascii="Tahoma" w:hAnsi="Tahoma" w:cs="Tahoma"/>
          <w:sz w:val="22"/>
          <w:szCs w:val="22"/>
        </w:rPr>
        <w:t xml:space="preserve"> αναίρεσης της απόφασης, τη δικαιοδοσία των διοικητικών δικαστηρίων. Η αναίρεση αυτή, ασκήθηκε με τη γνώση, ότι ακόμη και εάν γινόταν δεκτή, η υπόθεση θα αναπέμπονταν στα πολιτικά δικαστήρια και πάλι ο Δήμος θα καλούνταν να πληρώσει και ουσιαστικά η άσκησή της έλαβε χώρα για τυπικούς λόγους και όχι για ουσιαστικούς.</w:t>
      </w:r>
    </w:p>
    <w:p w:rsidR="00B97DA2" w:rsidRPr="00B97DA2" w:rsidRDefault="00B97DA2" w:rsidP="00B97DA2">
      <w:pPr>
        <w:spacing w:line="360" w:lineRule="auto"/>
        <w:ind w:firstLine="720"/>
        <w:jc w:val="both"/>
        <w:rPr>
          <w:rFonts w:ascii="Tahoma" w:hAnsi="Tahoma" w:cs="Tahoma"/>
          <w:sz w:val="22"/>
          <w:szCs w:val="22"/>
        </w:rPr>
      </w:pPr>
      <w:r w:rsidRPr="00B97DA2">
        <w:rPr>
          <w:rFonts w:ascii="Tahoma" w:hAnsi="Tahoma" w:cs="Tahoma"/>
          <w:sz w:val="22"/>
          <w:szCs w:val="22"/>
        </w:rPr>
        <w:t>Μετά την άσκηση της ανωτέρω αίτησης αναίρεσης, εκδόθηκε η υπ’ αριθμ. 4025/2019 Υπουργική Απόφαση (ΦΕΚ 123/27.1.2020 τ. Β’), με την οποία καθορίστηκε η διαδικασία επιχορήγησης των Δήμων για την πληρωμή τελεσίδικων δικαστικών αποφάσεων και διαταγών πληρωμής, που αφορούν υποχρεώσεις των Δήμων από συμβάσεις υπηρεσιών, προμηθειών, έργων κλπ.</w:t>
      </w:r>
    </w:p>
    <w:p w:rsidR="00B97DA2" w:rsidRPr="00B97DA2" w:rsidRDefault="00B97DA2" w:rsidP="00B97DA2">
      <w:pPr>
        <w:spacing w:line="360" w:lineRule="auto"/>
        <w:ind w:firstLine="720"/>
        <w:jc w:val="both"/>
        <w:rPr>
          <w:rFonts w:ascii="Tahoma" w:hAnsi="Tahoma" w:cs="Tahoma"/>
          <w:sz w:val="22"/>
          <w:szCs w:val="22"/>
        </w:rPr>
      </w:pPr>
      <w:r w:rsidRPr="00B97DA2">
        <w:rPr>
          <w:rFonts w:ascii="Tahoma" w:hAnsi="Tahoma" w:cs="Tahoma"/>
          <w:sz w:val="22"/>
          <w:szCs w:val="22"/>
        </w:rPr>
        <w:t>Επειδή, όπως προκύπτει από την ανωτέρω Υ.Α., η ως άνω δικαστική απόφαση εντάσσεται στο πλέγμα των αποφάσεων, που επιδοτούνται και επειδή σε κάθε περίπτωση, με βάση την ίδια την εφετειακή απόφαση, για όποιο ποσό καταβάλουμε στο ΑΣΤΙΚΟ ΚΤΕΛ, το Ελληνικό Δημόσιο φέρει ευθεία εκ της (τελεσίδικης) αποφάσεως υποχρέωση να μας το αποδώσει.</w:t>
      </w:r>
    </w:p>
    <w:p w:rsidR="00B97DA2" w:rsidRPr="00B97DA2" w:rsidRDefault="00B97DA2" w:rsidP="00B97DA2">
      <w:pPr>
        <w:spacing w:line="360" w:lineRule="auto"/>
        <w:ind w:firstLine="720"/>
        <w:jc w:val="both"/>
        <w:rPr>
          <w:rFonts w:ascii="Tahoma" w:hAnsi="Tahoma" w:cs="Tahoma"/>
          <w:sz w:val="22"/>
          <w:szCs w:val="22"/>
        </w:rPr>
      </w:pPr>
      <w:r w:rsidRPr="00B97DA2">
        <w:rPr>
          <w:rFonts w:ascii="Tahoma" w:hAnsi="Tahoma" w:cs="Tahoma"/>
          <w:sz w:val="22"/>
          <w:szCs w:val="22"/>
        </w:rPr>
        <w:t xml:space="preserve">Επειδή σύμφωνα με το άρθρο 72 παρ. 1 ιβ. και ιη του Ν. 3852/2010 η Οικονομική Επιτροπή </w:t>
      </w:r>
      <w:r w:rsidRPr="00B97DA2">
        <w:rPr>
          <w:rFonts w:ascii="Tahoma" w:hAnsi="Tahoma" w:cs="Tahoma"/>
          <w:color w:val="000000"/>
          <w:sz w:val="22"/>
          <w:szCs w:val="22"/>
        </w:rPr>
        <w:t xml:space="preserve">αποφασίζει τον συμβιβασμό ή την κατάργηση δίκης που έχει αντικείμενο μέχρι ποσού εξήντα χιλιάδων (60.000) ευρώ. Όταν το αντικείμενο είναι άνω των 60.000 ευρώ, τότε εισηγείται τη λήψη απόφασης από το Δημοτικό Συμβούλιο, ενώ σύμφωνα με την παρ. 2 του ίδιου άρθρου για τις περιπτώσεις ιζ`, ιη`, ιθ` της προηγούμενης παραγράφου, η απόφαση λαμβάνεται ύστερα από γνωμοδότηση δικηγόρου, η ανυπαρξία της οποίας συνεπάγεται ακυρότητα της σχετικής απόφασης. </w:t>
      </w:r>
    </w:p>
    <w:p w:rsidR="00B97DA2" w:rsidRPr="00B97DA2" w:rsidRDefault="00B97DA2" w:rsidP="00B97DA2">
      <w:pPr>
        <w:spacing w:line="360" w:lineRule="auto"/>
        <w:ind w:firstLine="720"/>
        <w:jc w:val="both"/>
        <w:rPr>
          <w:rFonts w:ascii="Tahoma" w:hAnsi="Tahoma" w:cs="Tahoma"/>
          <w:sz w:val="22"/>
          <w:szCs w:val="22"/>
        </w:rPr>
      </w:pPr>
      <w:r w:rsidRPr="00B97DA2">
        <w:rPr>
          <w:rFonts w:ascii="Tahoma" w:hAnsi="Tahoma" w:cs="Tahoma"/>
          <w:sz w:val="22"/>
          <w:szCs w:val="22"/>
        </w:rPr>
        <w:t xml:space="preserve">Εισηγούμαι </w:t>
      </w:r>
      <w:r w:rsidRPr="00B97DA2">
        <w:rPr>
          <w:rFonts w:ascii="Tahoma" w:hAnsi="Tahoma" w:cs="Tahoma"/>
          <w:b/>
          <w:bCs/>
          <w:sz w:val="22"/>
          <w:szCs w:val="22"/>
        </w:rPr>
        <w:t xml:space="preserve">την παραίτηση του Δήμου Αρταίων από τη με αρ. κατάθεσης 52/6.12.2019 Αίτηση Αναίρεσης, </w:t>
      </w:r>
      <w:r w:rsidRPr="00B97DA2">
        <w:rPr>
          <w:rFonts w:ascii="Tahoma" w:hAnsi="Tahoma" w:cs="Tahoma"/>
          <w:bCs/>
          <w:sz w:val="22"/>
          <w:szCs w:val="22"/>
        </w:rPr>
        <w:t>προκειμένου να πληρωθεί η τελεσιδίκως αναγνωρισμένη οφειλή του Δήμου Αρταίων κατά του ΑΣΤΙΚΟΥ ΚΤΕΛ, με επιχορήγηση, σύμφωνα με όσα αναφέρονται στην ως άνω Υ.Α., άλλως και σε κάθε περίπτωση με ευθεία αξίωση του ποσού (κατά τη διαδικασία της αναγκαστικής εκτέλεσης) από το Ελληνικό Δημόσιο.</w:t>
      </w:r>
    </w:p>
    <w:p w:rsidR="00E120F6" w:rsidRDefault="00E120F6" w:rsidP="00E120F6">
      <w:pPr>
        <w:spacing w:line="360" w:lineRule="auto"/>
        <w:jc w:val="both"/>
        <w:rPr>
          <w:rFonts w:ascii="Tahoma" w:hAnsi="Tahoma" w:cs="Tahoma"/>
          <w:color w:val="000000"/>
          <w:sz w:val="22"/>
          <w:szCs w:val="22"/>
        </w:rPr>
      </w:pPr>
    </w:p>
    <w:p w:rsidR="003119BD" w:rsidRPr="0086212B" w:rsidRDefault="003119BD" w:rsidP="003119BD">
      <w:pPr>
        <w:spacing w:line="360"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19BD" w:rsidRDefault="003119BD" w:rsidP="003119BD">
      <w:pPr>
        <w:pStyle w:val="af3"/>
        <w:spacing w:line="360" w:lineRule="auto"/>
        <w:rPr>
          <w:rFonts w:ascii="Tahoma" w:hAnsi="Tahoma" w:cs="Tahoma"/>
          <w:b/>
        </w:rPr>
      </w:pPr>
      <w:r w:rsidRPr="00796538">
        <w:rPr>
          <w:rFonts w:ascii="Tahoma" w:hAnsi="Tahoma" w:cs="Tahoma"/>
          <w:b/>
        </w:rPr>
        <w:t xml:space="preserve">                                               </w:t>
      </w:r>
      <w:r w:rsidRPr="00501C99">
        <w:rPr>
          <w:rFonts w:ascii="Tahoma" w:hAnsi="Tahoma" w:cs="Tahoma"/>
          <w:b/>
        </w:rPr>
        <w:t>ΤΟ ΔΗΜΟΤΙΚΟ ΣΥΜΒΟΥΛΙΟ</w:t>
      </w:r>
    </w:p>
    <w:p w:rsidR="00FC05F0" w:rsidRDefault="003119BD" w:rsidP="00FC05F0">
      <w:pPr>
        <w:spacing w:line="360"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00FC05F0" w:rsidRPr="007F42A0">
        <w:rPr>
          <w:rFonts w:ascii="Tahoma" w:hAnsi="Tahoma" w:cs="Tahoma"/>
          <w:sz w:val="22"/>
          <w:szCs w:val="22"/>
          <w:shd w:val="clear" w:color="auto" w:fill="FFFFFF"/>
        </w:rPr>
        <w:t>Αφού έλαβε υπόψη</w:t>
      </w:r>
      <w:r w:rsidR="00FC05F0">
        <w:rPr>
          <w:rFonts w:ascii="Tahoma" w:hAnsi="Tahoma" w:cs="Tahoma"/>
          <w:sz w:val="22"/>
          <w:szCs w:val="22"/>
          <w:shd w:val="clear" w:color="auto" w:fill="FFFFFF"/>
        </w:rPr>
        <w:t xml:space="preserve"> του τις διατάξεις του Ν.3463/06, του </w:t>
      </w:r>
      <w:r w:rsidR="00FC05F0" w:rsidRPr="007F42A0">
        <w:rPr>
          <w:rFonts w:ascii="Tahoma" w:hAnsi="Tahoma" w:cs="Tahoma"/>
          <w:sz w:val="22"/>
          <w:szCs w:val="22"/>
          <w:shd w:val="clear" w:color="auto" w:fill="FFFFFF"/>
        </w:rPr>
        <w:t xml:space="preserve"> Ν.3852/10</w:t>
      </w:r>
      <w:r w:rsidR="00FC05F0" w:rsidRPr="005F6D23">
        <w:rPr>
          <w:rFonts w:ascii="Tahoma" w:hAnsi="Tahoma" w:cs="Tahoma"/>
          <w:sz w:val="22"/>
          <w:szCs w:val="22"/>
          <w:shd w:val="clear" w:color="auto" w:fill="FFFFFF"/>
        </w:rPr>
        <w:t xml:space="preserve"> </w:t>
      </w:r>
      <w:r w:rsidR="00FC05F0">
        <w:rPr>
          <w:rFonts w:ascii="Tahoma" w:hAnsi="Tahoma" w:cs="Tahoma"/>
          <w:sz w:val="22"/>
          <w:szCs w:val="22"/>
          <w:shd w:val="clear" w:color="auto" w:fill="FFFFFF"/>
        </w:rPr>
        <w:t xml:space="preserve"> όπως τροποποιήθηκε με το Ν.4555/2018 και  την εισήγηση</w:t>
      </w:r>
    </w:p>
    <w:p w:rsidR="00B97DA2" w:rsidRDefault="00B97DA2" w:rsidP="00FC05F0">
      <w:pPr>
        <w:spacing w:line="360" w:lineRule="auto"/>
        <w:jc w:val="center"/>
        <w:rPr>
          <w:rFonts w:ascii="Tahoma" w:hAnsi="Tahoma" w:cs="Tahoma"/>
          <w:b/>
          <w:sz w:val="22"/>
          <w:szCs w:val="22"/>
        </w:rPr>
      </w:pPr>
    </w:p>
    <w:p w:rsidR="003119BD" w:rsidRDefault="00B97DA2" w:rsidP="00B97DA2">
      <w:pPr>
        <w:spacing w:line="360" w:lineRule="auto"/>
        <w:rPr>
          <w:rFonts w:ascii="Tahoma" w:hAnsi="Tahoma" w:cs="Tahoma"/>
          <w:b/>
          <w:sz w:val="22"/>
          <w:szCs w:val="22"/>
        </w:rPr>
      </w:pPr>
      <w:r>
        <w:rPr>
          <w:rFonts w:ascii="Tahoma" w:hAnsi="Tahoma" w:cs="Tahoma"/>
          <w:b/>
          <w:sz w:val="22"/>
          <w:szCs w:val="22"/>
        </w:rPr>
        <w:t xml:space="preserve">                                                </w:t>
      </w:r>
      <w:r w:rsidR="003119BD" w:rsidRPr="00D559E0">
        <w:rPr>
          <w:rFonts w:ascii="Tahoma" w:hAnsi="Tahoma" w:cs="Tahoma"/>
          <w:b/>
          <w:sz w:val="22"/>
          <w:szCs w:val="22"/>
        </w:rPr>
        <w:t xml:space="preserve">ΑΠΟΦΑΣΙΖΕI </w:t>
      </w:r>
      <w:r w:rsidR="003119BD">
        <w:rPr>
          <w:rFonts w:ascii="Tahoma" w:hAnsi="Tahoma" w:cs="Tahoma"/>
          <w:b/>
          <w:sz w:val="22"/>
          <w:szCs w:val="22"/>
        </w:rPr>
        <w:t>ΟΜΟΦΩΝΑ</w:t>
      </w:r>
    </w:p>
    <w:p w:rsidR="00B97DA2" w:rsidRPr="00B97DA2" w:rsidRDefault="003119BD" w:rsidP="00B97DA2">
      <w:pPr>
        <w:spacing w:line="360" w:lineRule="auto"/>
        <w:ind w:firstLine="720"/>
        <w:jc w:val="both"/>
        <w:rPr>
          <w:rFonts w:ascii="Tahoma" w:hAnsi="Tahoma" w:cs="Tahoma"/>
          <w:bCs/>
          <w:sz w:val="22"/>
          <w:szCs w:val="22"/>
        </w:rPr>
      </w:pPr>
      <w:r w:rsidRPr="00B97DA2">
        <w:rPr>
          <w:rFonts w:ascii="Tahoma" w:hAnsi="Tahoma" w:cs="Tahoma"/>
          <w:sz w:val="22"/>
          <w:szCs w:val="22"/>
        </w:rPr>
        <w:t xml:space="preserve">Α.- Την  </w:t>
      </w:r>
      <w:r w:rsidR="00B97DA2" w:rsidRPr="00B97DA2">
        <w:rPr>
          <w:rFonts w:ascii="Tahoma" w:hAnsi="Tahoma" w:cs="Tahoma"/>
          <w:bCs/>
          <w:sz w:val="22"/>
          <w:szCs w:val="22"/>
        </w:rPr>
        <w:t>παραίτηση του Δήμου Αρταίων από τη με αρ. κατάθεσης 52/6.12.2019 Αίτηση Αναίρεσης, σύμφωνα με το ιστορικό της παρούσας,</w:t>
      </w:r>
      <w:r w:rsidR="00B97DA2">
        <w:rPr>
          <w:rFonts w:ascii="Tahoma" w:hAnsi="Tahoma" w:cs="Tahoma"/>
          <w:bCs/>
          <w:sz w:val="22"/>
          <w:szCs w:val="22"/>
        </w:rPr>
        <w:t xml:space="preserve"> </w:t>
      </w:r>
      <w:r w:rsidR="00B97DA2" w:rsidRPr="00B97DA2">
        <w:rPr>
          <w:rFonts w:ascii="Tahoma" w:hAnsi="Tahoma" w:cs="Tahoma"/>
          <w:bCs/>
          <w:sz w:val="22"/>
          <w:szCs w:val="22"/>
        </w:rPr>
        <w:t>προκειμένου να πληρωθεί η τελεσιδίκως αναγνωρισμένη οφειλή του Δήμου Αρταίων κατά του ΑΣΤΙΚΟΥ ΚΤΕΛ, με επιχορήγηση, σύμφωνα με όσα αναφέρονται στην ως άνω Υ.Α., άλλως και σε κάθε περίπτωση με ευθεία αξίωση του ποσού (κατά τη διαδικασία της αναγκαστικής εκτέλεσης) από το Ελληνικό Δημόσιο.</w:t>
      </w:r>
    </w:p>
    <w:p w:rsidR="00B97DA2" w:rsidRPr="007E1BCB" w:rsidRDefault="00B97DA2" w:rsidP="00B97DA2">
      <w:pPr>
        <w:spacing w:line="360" w:lineRule="auto"/>
        <w:ind w:firstLine="720"/>
        <w:jc w:val="both"/>
        <w:rPr>
          <w:rFonts w:ascii="Tahoma" w:hAnsi="Tahoma" w:cs="Tahoma"/>
          <w:sz w:val="20"/>
          <w:szCs w:val="20"/>
        </w:rPr>
      </w:pPr>
    </w:p>
    <w:p w:rsidR="00C4033E" w:rsidRPr="00B97DA2" w:rsidRDefault="00C4033E" w:rsidP="00B97DA2">
      <w:pPr>
        <w:spacing w:line="360" w:lineRule="auto"/>
        <w:jc w:val="both"/>
        <w:rPr>
          <w:rFonts w:ascii="Tahoma" w:hAnsi="Tahoma" w:cs="Tahoma"/>
          <w:sz w:val="22"/>
          <w:szCs w:val="22"/>
        </w:rPr>
      </w:pPr>
      <w:r w:rsidRPr="00B97DA2">
        <w:rPr>
          <w:rFonts w:ascii="Tahoma" w:hAnsi="Tahoma" w:cs="Tahoma"/>
          <w:sz w:val="22"/>
          <w:szCs w:val="22"/>
        </w:rPr>
        <w:t>Αναθέτει κάθε παραπέρα ενέργεια στον κ. Δήμαρχο</w:t>
      </w:r>
    </w:p>
    <w:p w:rsidR="00C4033E" w:rsidRPr="00B97DA2" w:rsidRDefault="00C4033E" w:rsidP="003119BD">
      <w:pPr>
        <w:pStyle w:val="aa"/>
        <w:spacing w:line="276" w:lineRule="auto"/>
        <w:ind w:left="0"/>
        <w:rPr>
          <w:rFonts w:ascii="Tahoma" w:hAnsi="Tahoma" w:cs="Tahoma"/>
          <w:b/>
          <w:sz w:val="22"/>
          <w:szCs w:val="22"/>
        </w:rPr>
      </w:pPr>
      <w:r w:rsidRPr="00B97DA2">
        <w:rPr>
          <w:rFonts w:ascii="Tahoma" w:hAnsi="Tahoma" w:cs="Tahoma"/>
          <w:b/>
          <w:sz w:val="22"/>
          <w:szCs w:val="22"/>
        </w:rPr>
        <w:t xml:space="preserve">Η απόφαση αυτή έλαβε αριθ.  </w:t>
      </w:r>
      <w:r w:rsidR="00E120F6" w:rsidRPr="00B97DA2">
        <w:rPr>
          <w:rFonts w:ascii="Tahoma" w:hAnsi="Tahoma" w:cs="Tahoma"/>
          <w:b/>
          <w:sz w:val="22"/>
          <w:szCs w:val="22"/>
        </w:rPr>
        <w:t>1</w:t>
      </w:r>
      <w:r w:rsidR="00B97DA2">
        <w:rPr>
          <w:rFonts w:ascii="Tahoma" w:hAnsi="Tahoma" w:cs="Tahoma"/>
          <w:b/>
          <w:sz w:val="22"/>
          <w:szCs w:val="22"/>
        </w:rPr>
        <w:t>9</w:t>
      </w:r>
      <w:r w:rsidRPr="00B97DA2">
        <w:rPr>
          <w:rFonts w:ascii="Tahoma" w:hAnsi="Tahoma" w:cs="Tahoma"/>
          <w:b/>
          <w:sz w:val="22"/>
          <w:szCs w:val="22"/>
        </w:rPr>
        <w:t>/2020</w:t>
      </w:r>
    </w:p>
    <w:p w:rsidR="00C4033E" w:rsidRPr="00B277F5" w:rsidRDefault="00C4033E" w:rsidP="00C4033E">
      <w:pPr>
        <w:pStyle w:val="a5"/>
        <w:ind w:left="360"/>
        <w:rPr>
          <w:rFonts w:ascii="Tahoma" w:hAnsi="Tahoma" w:cs="Tahoma"/>
          <w:b/>
          <w:sz w:val="22"/>
          <w:szCs w:val="22"/>
        </w:rPr>
      </w:pPr>
    </w:p>
    <w:p w:rsidR="00C4033E" w:rsidRPr="00B277F5" w:rsidRDefault="00C4033E" w:rsidP="00C4033E">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C4033E" w:rsidRPr="00B277F5" w:rsidRDefault="00C4033E" w:rsidP="00C4033E">
      <w:pPr>
        <w:pStyle w:val="a5"/>
        <w:spacing w:line="276" w:lineRule="auto"/>
        <w:jc w:val="center"/>
        <w:rPr>
          <w:rFonts w:ascii="Tahoma" w:hAnsi="Tahoma" w:cs="Tahoma"/>
          <w:b/>
          <w:sz w:val="22"/>
          <w:szCs w:val="22"/>
        </w:rPr>
      </w:pPr>
    </w:p>
    <w:p w:rsidR="00C4033E" w:rsidRPr="00B277F5" w:rsidRDefault="00C4033E" w:rsidP="00C4033E">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C4033E" w:rsidRPr="004F25B6" w:rsidRDefault="00C4033E" w:rsidP="00C4033E">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C4033E" w:rsidRPr="004F25B6" w:rsidRDefault="00C4033E" w:rsidP="00C4033E">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C4033E" w:rsidRPr="004F25B6" w:rsidRDefault="00C4033E" w:rsidP="00C4033E">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C4033E" w:rsidRPr="004F25B6" w:rsidRDefault="00C4033E" w:rsidP="00C4033E">
      <w:pPr>
        <w:pStyle w:val="a5"/>
        <w:ind w:left="360"/>
        <w:jc w:val="both"/>
        <w:rPr>
          <w:rFonts w:ascii="Aka-Acid-StaticBold" w:hAnsi="Aka-Acid-StaticBold" w:cs="Tahoma"/>
          <w:i/>
          <w:sz w:val="14"/>
          <w:szCs w:val="14"/>
        </w:rPr>
      </w:pPr>
    </w:p>
    <w:p w:rsidR="00070B1D" w:rsidRPr="003119BD" w:rsidRDefault="00C4033E" w:rsidP="003119BD">
      <w:pPr>
        <w:pStyle w:val="a5"/>
        <w:tabs>
          <w:tab w:val="left" w:pos="2134"/>
        </w:tabs>
        <w:ind w:left="360"/>
        <w:jc w:val="both"/>
      </w:pPr>
      <w:r w:rsidRPr="004F25B6">
        <w:rPr>
          <w:rFonts w:ascii="Aka-Acid-StaticBold" w:hAnsi="Aka-Acid-StaticBold" w:cs="Tahoma"/>
          <w:i/>
          <w:sz w:val="14"/>
          <w:szCs w:val="14"/>
        </w:rPr>
        <w:t xml:space="preserve">   Θόδωρος Ντέμσιας </w:t>
      </w: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42D" w:rsidRDefault="0077242D">
      <w:r>
        <w:separator/>
      </w:r>
    </w:p>
  </w:endnote>
  <w:endnote w:type="continuationSeparator" w:id="0">
    <w:p w:rsidR="0077242D" w:rsidRDefault="0077242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libri">
    <w:altName w:val="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EF20E4"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EF20E4"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EF20E4" w:rsidRPr="00717CAE">
              <w:rPr>
                <w:rFonts w:ascii="Aka-Acid-StaticBold" w:hAnsi="Aka-Acid-StaticBold"/>
                <w:b/>
                <w:sz w:val="20"/>
                <w:szCs w:val="20"/>
              </w:rPr>
              <w:fldChar w:fldCharType="separate"/>
            </w:r>
            <w:r w:rsidR="0077242D">
              <w:rPr>
                <w:rFonts w:ascii="Aka-Acid-StaticBold" w:hAnsi="Aka-Acid-StaticBold"/>
                <w:b/>
                <w:noProof/>
                <w:sz w:val="20"/>
                <w:szCs w:val="20"/>
              </w:rPr>
              <w:t>1</w:t>
            </w:r>
            <w:r w:rsidR="00EF20E4"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EF20E4"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EF20E4" w:rsidRPr="00717CAE">
              <w:rPr>
                <w:rFonts w:ascii="Aka-Acid-StaticBold" w:hAnsi="Aka-Acid-StaticBold"/>
                <w:b/>
                <w:sz w:val="20"/>
                <w:szCs w:val="20"/>
              </w:rPr>
              <w:fldChar w:fldCharType="separate"/>
            </w:r>
            <w:r w:rsidR="0077242D">
              <w:rPr>
                <w:rFonts w:ascii="Aka-Acid-StaticBold" w:hAnsi="Aka-Acid-StaticBold"/>
                <w:b/>
                <w:noProof/>
                <w:sz w:val="20"/>
                <w:szCs w:val="20"/>
              </w:rPr>
              <w:t>1</w:t>
            </w:r>
            <w:r w:rsidR="00EF20E4"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42D" w:rsidRDefault="0077242D">
      <w:r>
        <w:separator/>
      </w:r>
    </w:p>
  </w:footnote>
  <w:footnote w:type="continuationSeparator" w:id="0">
    <w:p w:rsidR="0077242D" w:rsidRDefault="007724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8"/>
  </w:num>
  <w:num w:numId="6">
    <w:abstractNumId w:val="7"/>
  </w:num>
  <w:num w:numId="7">
    <w:abstractNumId w:val="6"/>
  </w:num>
  <w:num w:numId="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1170"/>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2B27"/>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1714"/>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25AC"/>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A8D"/>
    <w:rsid w:val="00653BB6"/>
    <w:rsid w:val="00654518"/>
    <w:rsid w:val="00654DC5"/>
    <w:rsid w:val="006552F0"/>
    <w:rsid w:val="00655685"/>
    <w:rsid w:val="006561A1"/>
    <w:rsid w:val="00657E1D"/>
    <w:rsid w:val="00657E94"/>
    <w:rsid w:val="006608F8"/>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47B5"/>
    <w:rsid w:val="006B748A"/>
    <w:rsid w:val="006B77B3"/>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42D"/>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97DA2"/>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20F6"/>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0E4"/>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05F0"/>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1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2EDE16-248A-4F1D-91E2-8F497241D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1716</Words>
  <Characters>9270</Characters>
  <Application>Microsoft Office Word</Application>
  <DocSecurity>0</DocSecurity>
  <Lines>77</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2020-02-20T07:52:00Z</cp:lastPrinted>
  <dcterms:created xsi:type="dcterms:W3CDTF">2020-02-19T09:03:00Z</dcterms:created>
  <dcterms:modified xsi:type="dcterms:W3CDTF">2020-02-20T07:53:00Z</dcterms:modified>
</cp:coreProperties>
</file>