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CB7EB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8132E9">
              <w:rPr>
                <w:rFonts w:ascii="Tahoma" w:hAnsi="Tahoma" w:cs="Tahoma"/>
                <w:b/>
                <w:bCs/>
                <w:sz w:val="22"/>
                <w:szCs w:val="22"/>
              </w:rPr>
              <w:t>72</w:t>
            </w:r>
            <w:r w:rsidR="00CB7EBD">
              <w:rPr>
                <w:rFonts w:ascii="Tahoma" w:hAnsi="Tahoma" w:cs="Tahoma"/>
                <w:b/>
                <w:bCs/>
                <w:sz w:val="22"/>
                <w:szCs w:val="22"/>
              </w:rPr>
              <w:t>8</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436CD7" w:rsidRDefault="0027321C" w:rsidP="00436CD7">
            <w:pPr>
              <w:rPr>
                <w:rStyle w:val="af0"/>
              </w:rPr>
            </w:pP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CB7EBD" w:rsidRPr="00CB7EBD">
              <w:rPr>
                <w:rFonts w:ascii="Tahoma" w:hAnsi="Tahoma" w:cs="Tahoma"/>
                <w:b/>
                <w:spacing w:val="0"/>
                <w:kern w:val="22"/>
                <w:sz w:val="22"/>
                <w:szCs w:val="22"/>
                <w:lang w:val="el-GR"/>
              </w:rPr>
              <w:t>Έναρξη δοκιμαστικής λειτουργίας του έργου "Εγκατάσταση επεξεργασίας Αστικών Στερεών Αποβλήτων Περιφέρειας Ηπείρου"</w:t>
            </w:r>
            <w:r w:rsidRPr="00382CD3">
              <w:rPr>
                <w:rFonts w:ascii="Tahoma" w:hAnsi="Tahoma" w:cs="Tahoma"/>
                <w:b/>
                <w:spacing w:val="0"/>
                <w:kern w:val="22"/>
                <w:sz w:val="18"/>
                <w:szCs w:val="18"/>
                <w:lang w:val="el-GR"/>
              </w:rPr>
              <w:t>»</w:t>
            </w:r>
          </w:p>
        </w:tc>
      </w:tr>
    </w:tbl>
    <w:p w:rsidR="00910149"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CB7EBD" w:rsidRDefault="00CB7EBD" w:rsidP="00CB7EBD">
      <w:pPr>
        <w:spacing w:line="276" w:lineRule="auto"/>
        <w:jc w:val="both"/>
        <w:rPr>
          <w:rFonts w:ascii="Tahoma" w:hAnsi="Tahoma" w:cs="Tahoma"/>
          <w:b/>
          <w:szCs w:val="22"/>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8</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Pr="00C333FD">
        <w:rPr>
          <w:rFonts w:ascii="Tahoma" w:hAnsi="Tahoma" w:cs="Tahoma"/>
          <w:b/>
          <w:sz w:val="22"/>
          <w:szCs w:val="22"/>
        </w:rPr>
        <w:t>Έναρξη δοκιμαστικής λειτουργίας του έργου "Εγκατάσταση επεξεργασίας Αστικών Στερεών Αποβλήτων Περιφέρειας Ηπείρου"</w:t>
      </w:r>
      <w:r w:rsidRPr="00721A9E">
        <w:rPr>
          <w:rFonts w:ascii="Tahoma" w:hAnsi="Tahoma" w:cs="Tahoma"/>
          <w:b/>
          <w:sz w:val="22"/>
          <w:szCs w:val="22"/>
        </w:rPr>
        <w:t>»</w:t>
      </w:r>
      <w:r>
        <w:rPr>
          <w:rFonts w:ascii="Tahoma" w:hAnsi="Tahoma" w:cs="Tahoma"/>
          <w:b/>
          <w:szCs w:val="22"/>
        </w:rPr>
        <w:t xml:space="preserve"> </w:t>
      </w:r>
      <w:bookmarkStart w:id="0" w:name="OLE_LINK6"/>
      <w:r w:rsidRPr="000F2D80">
        <w:rPr>
          <w:rFonts w:ascii="Tahoma" w:hAnsi="Tahoma" w:cs="Tahoma"/>
          <w:sz w:val="22"/>
          <w:szCs w:val="22"/>
        </w:rPr>
        <w:t>έδωσε το λόγο στον</w:t>
      </w:r>
      <w:r>
        <w:rPr>
          <w:rFonts w:ascii="Tahoma" w:hAnsi="Tahoma" w:cs="Tahoma"/>
          <w:sz w:val="22"/>
          <w:szCs w:val="22"/>
        </w:rPr>
        <w:t xml:space="preserve"> αρμόδιο αντιδήμαρχο κ. Λιλή </w:t>
      </w:r>
      <w:r w:rsidRPr="000F2D80">
        <w:rPr>
          <w:rFonts w:ascii="Tahoma" w:hAnsi="Tahoma" w:cs="Tahoma"/>
          <w:sz w:val="22"/>
          <w:szCs w:val="22"/>
        </w:rPr>
        <w:t xml:space="preserve">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CB7EBD" w:rsidRDefault="00CB7EBD" w:rsidP="00CB7EBD">
      <w:pPr>
        <w:spacing w:line="276" w:lineRule="auto"/>
        <w:jc w:val="both"/>
        <w:rPr>
          <w:rFonts w:ascii="Tahoma" w:hAnsi="Tahoma" w:cs="Tahoma"/>
          <w:b/>
          <w:szCs w:val="22"/>
        </w:rPr>
      </w:pPr>
    </w:p>
    <w:p w:rsidR="00CB7EBD" w:rsidRDefault="00CB7EBD" w:rsidP="00CB7EBD">
      <w:pPr>
        <w:rPr>
          <w:rFonts w:ascii="Tahoma" w:hAnsi="Tahoma" w:cs="Tahoma"/>
          <w:sz w:val="22"/>
          <w:szCs w:val="22"/>
          <w:u w:val="single"/>
        </w:rPr>
      </w:pPr>
      <w:r>
        <w:rPr>
          <w:rFonts w:ascii="Tahoma" w:hAnsi="Tahoma" w:cs="Tahoma"/>
          <w:sz w:val="22"/>
          <w:szCs w:val="22"/>
        </w:rPr>
        <w:t xml:space="preserve">       </w:t>
      </w:r>
      <w:r w:rsidRPr="002F7600">
        <w:rPr>
          <w:rFonts w:ascii="Tahoma" w:hAnsi="Tahoma" w:cs="Tahoma"/>
          <w:sz w:val="22"/>
          <w:szCs w:val="22"/>
          <w:u w:val="single"/>
        </w:rPr>
        <w:t xml:space="preserve">Έχοντας υπόψη: </w:t>
      </w:r>
    </w:p>
    <w:p w:rsidR="00CB7EBD" w:rsidRPr="002F7600" w:rsidRDefault="00CB7EBD" w:rsidP="00CB7EBD">
      <w:pPr>
        <w:rPr>
          <w:rFonts w:ascii="Tahoma" w:hAnsi="Tahoma" w:cs="Tahoma"/>
          <w:sz w:val="22"/>
          <w:szCs w:val="22"/>
          <w:u w:val="single"/>
        </w:rPr>
      </w:pPr>
    </w:p>
    <w:p w:rsidR="00CB7EBD" w:rsidRPr="002F7600" w:rsidRDefault="00CB7EBD" w:rsidP="00CB7EBD">
      <w:pPr>
        <w:numPr>
          <w:ilvl w:val="0"/>
          <w:numId w:val="25"/>
        </w:numPr>
        <w:rPr>
          <w:rFonts w:ascii="Tahoma" w:hAnsi="Tahoma" w:cs="Tahoma"/>
          <w:sz w:val="22"/>
          <w:szCs w:val="22"/>
        </w:rPr>
      </w:pPr>
      <w:r w:rsidRPr="002F7600">
        <w:rPr>
          <w:rFonts w:ascii="Tahoma" w:hAnsi="Tahoma" w:cs="Tahoma"/>
          <w:sz w:val="22"/>
          <w:szCs w:val="22"/>
        </w:rPr>
        <w:t>Το αρ. πρωτ. 166390/428/16-11-2018 έγγραφο της Περιφέρειας Ηπείρου</w:t>
      </w:r>
    </w:p>
    <w:p w:rsidR="00CB7EBD" w:rsidRPr="002F7600" w:rsidRDefault="00CB7EBD" w:rsidP="00CB7EBD">
      <w:pPr>
        <w:numPr>
          <w:ilvl w:val="0"/>
          <w:numId w:val="25"/>
        </w:numPr>
        <w:rPr>
          <w:rFonts w:ascii="Tahoma" w:hAnsi="Tahoma" w:cs="Tahoma"/>
          <w:sz w:val="22"/>
          <w:szCs w:val="22"/>
        </w:rPr>
      </w:pPr>
      <w:r w:rsidRPr="002F7600">
        <w:rPr>
          <w:rFonts w:ascii="Tahoma" w:hAnsi="Tahoma" w:cs="Tahoma"/>
          <w:sz w:val="22"/>
          <w:szCs w:val="22"/>
        </w:rPr>
        <w:t>Το αρ. πρωτ. 179376/464/07-12-2018 έγγραφο της Περιφέρειας Ηπείρου</w:t>
      </w:r>
    </w:p>
    <w:p w:rsidR="00CB7EBD" w:rsidRPr="002F7600" w:rsidRDefault="00CB7EBD" w:rsidP="00CB7EBD">
      <w:pPr>
        <w:numPr>
          <w:ilvl w:val="0"/>
          <w:numId w:val="25"/>
        </w:numPr>
        <w:rPr>
          <w:rFonts w:ascii="Tahoma" w:hAnsi="Tahoma" w:cs="Tahoma"/>
          <w:sz w:val="22"/>
          <w:szCs w:val="22"/>
        </w:rPr>
      </w:pPr>
      <w:r w:rsidRPr="002F7600">
        <w:rPr>
          <w:rFonts w:ascii="Tahoma" w:hAnsi="Tahoma" w:cs="Tahoma"/>
          <w:sz w:val="22"/>
          <w:szCs w:val="22"/>
        </w:rPr>
        <w:t>Το αρ. πρωτ. 370/ΒΣ/δμπ/10-12-2018 έγγραφο του ΙΦΣ (Ιδιωτικός Φορέας Σύμπραξης)</w:t>
      </w:r>
    </w:p>
    <w:p w:rsidR="00CB7EBD" w:rsidRPr="002F7600" w:rsidRDefault="00CB7EBD" w:rsidP="00CB7EBD">
      <w:pPr>
        <w:numPr>
          <w:ilvl w:val="0"/>
          <w:numId w:val="25"/>
        </w:numPr>
        <w:jc w:val="both"/>
        <w:rPr>
          <w:rFonts w:ascii="Tahoma" w:hAnsi="Tahoma" w:cs="Tahoma"/>
          <w:sz w:val="22"/>
          <w:szCs w:val="22"/>
        </w:rPr>
      </w:pPr>
      <w:r w:rsidRPr="002F7600">
        <w:rPr>
          <w:rFonts w:ascii="Tahoma" w:hAnsi="Tahoma" w:cs="Tahoma"/>
          <w:sz w:val="22"/>
          <w:szCs w:val="22"/>
        </w:rPr>
        <w:t>Το γεγονός ότι πρέπει να αρχίσει άμεσα η μεταφορά των σύμμεικτων στερεών αποβλήτων του Δήμου μας στην Εγκατάσταση Επεξεργασίας Αστικών Αποβλήτων Περιφέρειας Ηπείρου, στην Δημοτική Ενότητα Δωδώνης Ιωαννίνων. Συγκεκριμένα με το αρ. πρωτ. 18076/469/11-12-2018 έγγραφο της Περιφέρειας Ηπείρου, η δοκιμαστική λειτουργία του έργου αρχίζει στις 17/12/2018 και εντος του Ιανουαρίου 2019 θα αρχίσει η κανονική λειτουργία της μονάδας</w:t>
      </w:r>
    </w:p>
    <w:p w:rsidR="00CB7EBD" w:rsidRPr="002F7600" w:rsidRDefault="00CB7EBD" w:rsidP="00CB7EBD">
      <w:pPr>
        <w:numPr>
          <w:ilvl w:val="0"/>
          <w:numId w:val="25"/>
        </w:numPr>
        <w:jc w:val="both"/>
        <w:rPr>
          <w:rFonts w:ascii="Tahoma" w:hAnsi="Tahoma" w:cs="Tahoma"/>
          <w:sz w:val="22"/>
          <w:szCs w:val="22"/>
        </w:rPr>
      </w:pPr>
      <w:r w:rsidRPr="002F7600">
        <w:rPr>
          <w:rFonts w:ascii="Tahoma" w:hAnsi="Tahoma" w:cs="Tahoma"/>
          <w:sz w:val="22"/>
          <w:szCs w:val="22"/>
        </w:rPr>
        <w:t>Το γεγονός ότι ο Σταθμός Μεταφόρτωσης, στον οποίο θα εξυπηρετείται ο Δήμος Αρταίων, βρίσκεται σε φάση κατασκευής και η ολοκλήρωσή του με την έναρξη λειτουργίας του αναμένονται στις αρχές του 2019</w:t>
      </w:r>
    </w:p>
    <w:p w:rsidR="00CB7EBD" w:rsidRPr="002F7600" w:rsidRDefault="00CB7EBD" w:rsidP="00CB7EBD">
      <w:pPr>
        <w:numPr>
          <w:ilvl w:val="0"/>
          <w:numId w:val="25"/>
        </w:numPr>
        <w:jc w:val="both"/>
        <w:rPr>
          <w:rFonts w:ascii="Tahoma" w:hAnsi="Tahoma" w:cs="Tahoma"/>
          <w:sz w:val="22"/>
          <w:szCs w:val="22"/>
        </w:rPr>
      </w:pPr>
      <w:r w:rsidRPr="002F7600">
        <w:rPr>
          <w:rFonts w:ascii="Tahoma" w:hAnsi="Tahoma" w:cs="Tahoma"/>
          <w:sz w:val="22"/>
          <w:szCs w:val="22"/>
        </w:rPr>
        <w:t>Ότι οι προσπάθειες ανεύρεσης άλλων λύσεων μεταφόρτωσης των κοινών απορριμμάτων, στα πλαίσια της δοκιμαστικής λειτουργίας της μονάδας επεξεργασίας Αστικών αποβλήτων της Περιφέρειας Ηπείρου απέβησαν άκαρπες, λόγω έλλειψης περιβαλλοντικά αδειοδοτημένου χώρου, ράμπας κ.λ.π.</w:t>
      </w:r>
    </w:p>
    <w:p w:rsidR="00CB7EBD" w:rsidRPr="002F7600" w:rsidRDefault="00CB7EBD" w:rsidP="00CB7EBD">
      <w:pPr>
        <w:numPr>
          <w:ilvl w:val="0"/>
          <w:numId w:val="25"/>
        </w:numPr>
        <w:jc w:val="both"/>
        <w:rPr>
          <w:rFonts w:ascii="Tahoma" w:hAnsi="Tahoma" w:cs="Tahoma"/>
          <w:sz w:val="22"/>
          <w:szCs w:val="22"/>
        </w:rPr>
      </w:pPr>
      <w:r w:rsidRPr="002F7600">
        <w:rPr>
          <w:rFonts w:ascii="Tahoma" w:hAnsi="Tahoma" w:cs="Tahoma"/>
          <w:sz w:val="22"/>
          <w:szCs w:val="22"/>
        </w:rPr>
        <w:t>Το γεγονός ότι ο μόνος τρόπος μεταφοράς στην μονάδα επεξεργασίας, των σύμμεικτων στερεών αποβλήτων, είναι με τα απορριμματοφόρα του Δήμου</w:t>
      </w:r>
    </w:p>
    <w:p w:rsidR="00CB7EBD" w:rsidRPr="002F7600" w:rsidRDefault="00CB7EBD" w:rsidP="00CB7EBD">
      <w:pPr>
        <w:ind w:left="720"/>
        <w:jc w:val="both"/>
        <w:rPr>
          <w:rFonts w:ascii="Tahoma" w:hAnsi="Tahoma" w:cs="Tahoma"/>
          <w:sz w:val="22"/>
          <w:szCs w:val="22"/>
        </w:rPr>
      </w:pPr>
    </w:p>
    <w:p w:rsidR="00CB7EBD" w:rsidRDefault="00CB7EBD" w:rsidP="00CB7EBD">
      <w:pPr>
        <w:ind w:left="360"/>
        <w:jc w:val="center"/>
        <w:rPr>
          <w:rFonts w:ascii="Tahoma" w:hAnsi="Tahoma" w:cs="Tahoma"/>
          <w:sz w:val="22"/>
          <w:szCs w:val="22"/>
        </w:rPr>
      </w:pPr>
      <w:r w:rsidRPr="002F7600">
        <w:rPr>
          <w:rFonts w:ascii="Tahoma" w:hAnsi="Tahoma" w:cs="Tahoma"/>
          <w:sz w:val="22"/>
          <w:szCs w:val="22"/>
        </w:rPr>
        <w:t>Εισηγούμαστε</w:t>
      </w:r>
    </w:p>
    <w:p w:rsidR="00CB7EBD" w:rsidRPr="002F7600" w:rsidRDefault="00CB7EBD" w:rsidP="00CB7EBD">
      <w:pPr>
        <w:ind w:left="360"/>
        <w:jc w:val="center"/>
        <w:rPr>
          <w:rFonts w:ascii="Tahoma" w:hAnsi="Tahoma" w:cs="Tahoma"/>
          <w:sz w:val="22"/>
          <w:szCs w:val="22"/>
        </w:rPr>
      </w:pPr>
    </w:p>
    <w:p w:rsidR="00CB7EBD" w:rsidRDefault="00CB7EBD" w:rsidP="00CB7EBD">
      <w:pPr>
        <w:ind w:left="360"/>
        <w:jc w:val="both"/>
        <w:rPr>
          <w:b/>
          <w:sz w:val="28"/>
        </w:rPr>
      </w:pPr>
      <w:r>
        <w:rPr>
          <w:rFonts w:ascii="Tahoma" w:hAnsi="Tahoma" w:cs="Tahoma"/>
          <w:sz w:val="22"/>
          <w:szCs w:val="22"/>
        </w:rPr>
        <w:t xml:space="preserve">   </w:t>
      </w:r>
      <w:r w:rsidRPr="002F7600">
        <w:rPr>
          <w:rFonts w:ascii="Tahoma" w:hAnsi="Tahoma" w:cs="Tahoma"/>
          <w:sz w:val="22"/>
          <w:szCs w:val="22"/>
        </w:rPr>
        <w:t xml:space="preserve">Η </w:t>
      </w:r>
      <w:bookmarkStart w:id="1" w:name="OLE_LINK4"/>
      <w:bookmarkStart w:id="2" w:name="OLE_LINK5"/>
      <w:bookmarkStart w:id="3" w:name="OLE_LINK7"/>
      <w:r w:rsidRPr="002F7600">
        <w:rPr>
          <w:rFonts w:ascii="Tahoma" w:hAnsi="Tahoma" w:cs="Tahoma"/>
          <w:sz w:val="22"/>
          <w:szCs w:val="22"/>
        </w:rPr>
        <w:t>μεταφορά των σύμμεικτων στερεών αποβλήτων, στην Εγκατάσταση Επεξεργασίας Αστικών Αποβλήτων Περιφέρειας Ηπείρου, στην Δημοτική Ενότητα Δωδώνης Ιωαννίνων και για χρονικό διάστημα μέχρι το πέρας της δοκιμαστικής λειτουργίας της Εγκατάστασης Επεξεργασίας Αστικών Αποβλήτων Περιφέρειας Ηπείρου, να γίνει με τα απορριμματοφόρα του Δήμου λαμβάνοντας υπόψη την διαθεσιμότητα των απορριμματοφόρων και του προσωπικού της υπηρεσίας Καθαριότητας</w:t>
      </w:r>
      <w:bookmarkEnd w:id="1"/>
      <w:bookmarkEnd w:id="2"/>
      <w:bookmarkEnd w:id="3"/>
      <w:r w:rsidRPr="002F7600">
        <w:rPr>
          <w:rFonts w:ascii="Tahoma" w:hAnsi="Tahoma" w:cs="Tahoma"/>
          <w:sz w:val="22"/>
          <w:szCs w:val="22"/>
        </w:rPr>
        <w:t>.</w:t>
      </w:r>
      <w:r>
        <w:rPr>
          <w:b/>
          <w:sz w:val="28"/>
        </w:rPr>
        <w:t xml:space="preserve"> </w:t>
      </w:r>
      <w:r w:rsidRPr="00BC569A">
        <w:rPr>
          <w:b/>
          <w:sz w:val="28"/>
        </w:rPr>
        <w:t xml:space="preserve"> </w:t>
      </w:r>
    </w:p>
    <w:p w:rsidR="00CB7EBD" w:rsidRDefault="00CB7EBD" w:rsidP="00CB7EBD">
      <w:pPr>
        <w:ind w:left="360"/>
        <w:jc w:val="both"/>
        <w:rPr>
          <w:b/>
          <w:sz w:val="28"/>
        </w:rPr>
      </w:pPr>
    </w:p>
    <w:p w:rsidR="00CB7EBD" w:rsidRDefault="00CB7EBD" w:rsidP="00CB7EBD">
      <w:pPr>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B7EBD" w:rsidRDefault="00CB7EBD" w:rsidP="00CB7EBD">
      <w:pPr>
        <w:pStyle w:val="Default"/>
        <w:spacing w:line="276" w:lineRule="auto"/>
        <w:jc w:val="both"/>
        <w:rPr>
          <w:rFonts w:ascii="Tahoma" w:hAnsi="Tahoma" w:cs="Tahoma"/>
          <w:sz w:val="22"/>
          <w:szCs w:val="22"/>
        </w:rPr>
      </w:pPr>
    </w:p>
    <w:p w:rsidR="00CB7EBD" w:rsidRDefault="00CB7EBD" w:rsidP="00CB7EBD">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CB7EBD" w:rsidRDefault="00CB7EBD" w:rsidP="00CB7EBD">
      <w:pPr>
        <w:jc w:val="center"/>
        <w:rPr>
          <w:rFonts w:ascii="Tahoma" w:hAnsi="Tahoma" w:cs="Tahoma"/>
          <w:b/>
          <w:color w:val="000000"/>
          <w:sz w:val="22"/>
          <w:szCs w:val="22"/>
        </w:rPr>
      </w:pPr>
    </w:p>
    <w:p w:rsidR="00CB7EBD" w:rsidRDefault="00CB7EBD" w:rsidP="00CB7EBD">
      <w:pPr>
        <w:pStyle w:val="af3"/>
        <w:spacing w:line="276" w:lineRule="auto"/>
        <w:jc w:val="both"/>
        <w:rPr>
          <w:rFonts w:ascii="Tahoma" w:hAnsi="Tahoma" w:cs="Tahoma"/>
          <w:color w:val="000000"/>
          <w:szCs w:val="22"/>
        </w:rPr>
      </w:pPr>
      <w:r>
        <w:rPr>
          <w:rFonts w:ascii="Tahoma" w:hAnsi="Tahoma" w:cs="Tahoma"/>
          <w:color w:val="000000"/>
          <w:szCs w:val="22"/>
        </w:rPr>
        <w:t>Αφού έλαβε υπόψη διατάξεις του ΔΚΚ 3463/2006, του Ν. 3852/2010 και την εισήγηση και γενομένης ψηφοφορίας κατά την οποία οι κ.κ. Κοσμάς και Παπαιωάννου ψήφισαν κατά</w:t>
      </w:r>
    </w:p>
    <w:p w:rsidR="00CB7EBD" w:rsidRDefault="00CB7EBD" w:rsidP="00CB7EBD">
      <w:pPr>
        <w:pStyle w:val="af3"/>
        <w:spacing w:line="276" w:lineRule="auto"/>
        <w:jc w:val="both"/>
        <w:rPr>
          <w:rFonts w:ascii="Tahoma" w:hAnsi="Tahoma" w:cs="Tahoma"/>
          <w:color w:val="000000"/>
          <w:szCs w:val="22"/>
        </w:rPr>
      </w:pP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ΚΑΤΑ ΠΛΕΙΟΨΗΦΙΑ</w:t>
      </w:r>
    </w:p>
    <w:p w:rsidR="00CB7EBD" w:rsidRDefault="00CB7EBD" w:rsidP="00CB7EBD">
      <w:pPr>
        <w:jc w:val="center"/>
        <w:rPr>
          <w:rFonts w:ascii="Tahoma" w:hAnsi="Tahoma" w:cs="Tahoma"/>
          <w:b/>
          <w:color w:val="000000"/>
          <w:sz w:val="22"/>
          <w:szCs w:val="22"/>
          <w:shd w:val="clear" w:color="auto" w:fill="FFFFFF"/>
        </w:rPr>
      </w:pPr>
      <w:r>
        <w:rPr>
          <w:rFonts w:ascii="Tahoma" w:hAnsi="Tahoma" w:cs="Tahoma"/>
          <w:b/>
          <w:color w:val="000000"/>
          <w:sz w:val="22"/>
          <w:szCs w:val="22"/>
          <w:shd w:val="clear" w:color="auto" w:fill="FFFFFF"/>
        </w:rPr>
        <w:t xml:space="preserve"> </w:t>
      </w:r>
    </w:p>
    <w:p w:rsidR="00CB7EBD" w:rsidRDefault="00CB7EBD" w:rsidP="00CB7EBD">
      <w:pPr>
        <w:spacing w:line="276" w:lineRule="auto"/>
        <w:jc w:val="both"/>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bookmarkEnd w:id="0"/>
      <w:r w:rsidRPr="00C333FD">
        <w:rPr>
          <w:rFonts w:ascii="Tahoma" w:hAnsi="Tahoma" w:cs="Tahoma"/>
          <w:sz w:val="22"/>
          <w:szCs w:val="22"/>
        </w:rPr>
        <w:t xml:space="preserve">Η </w:t>
      </w:r>
      <w:r w:rsidRPr="002F7600">
        <w:rPr>
          <w:rFonts w:ascii="Tahoma" w:hAnsi="Tahoma" w:cs="Tahoma"/>
          <w:sz w:val="22"/>
          <w:szCs w:val="22"/>
        </w:rPr>
        <w:t>μεταφορά των σύμμεικτων στερεών αποβλήτων, στην Εγκατάσταση Επεξεργασίας Αστικών Αποβλήτων Περιφέρειας Ηπείρου, στην Δημοτική Ενότητα Δωδώνης Ιωαννίνων και για χρονικό διάστημα μέχρι το πέρας της δοκιμαστικής λειτουργίας της Εγκατάστασης Επεξεργασίας Αστικών Αποβλήτων Περιφέρειας Ηπείρου, να γίνει με τα απορριμματοφόρα του Δήμου λαμβάνοντας υπόψη την διαθεσιμότητα των απορριμματοφόρων και του προσωπικού της υπηρεσίας Καθαριότητας</w:t>
      </w:r>
    </w:p>
    <w:p w:rsidR="00CB7EBD" w:rsidRPr="003C7AA6" w:rsidRDefault="00CB7EBD" w:rsidP="00CB7EBD">
      <w:pPr>
        <w:spacing w:line="276" w:lineRule="auto"/>
        <w:jc w:val="both"/>
        <w:rPr>
          <w:rFonts w:ascii="Tahoma" w:hAnsi="Tahoma" w:cs="Tahoma"/>
          <w:sz w:val="22"/>
          <w:szCs w:val="22"/>
        </w:rPr>
      </w:pPr>
    </w:p>
    <w:p w:rsidR="00CB7EBD" w:rsidRPr="00791641" w:rsidRDefault="00CB7EBD" w:rsidP="00CB7EBD">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CB7EBD" w:rsidRPr="001B1F99" w:rsidRDefault="00CB7EBD" w:rsidP="00CB7EBD">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 xml:space="preserve">728 </w:t>
      </w:r>
      <w:r w:rsidRPr="001B1F99">
        <w:rPr>
          <w:rFonts w:ascii="Tahoma" w:hAnsi="Tahoma" w:cs="Tahoma"/>
          <w:b/>
          <w:szCs w:val="22"/>
        </w:rPr>
        <w:t>/2018</w:t>
      </w:r>
    </w:p>
    <w:p w:rsidR="00CB7EBD" w:rsidRPr="006B4FD5" w:rsidRDefault="00CB7EBD" w:rsidP="00CB7EBD">
      <w:pPr>
        <w:pStyle w:val="a5"/>
        <w:spacing w:line="276" w:lineRule="auto"/>
        <w:jc w:val="both"/>
        <w:rPr>
          <w:rFonts w:ascii="Tahoma" w:hAnsi="Tahoma" w:cs="Tahoma"/>
          <w:b/>
          <w:sz w:val="22"/>
          <w:szCs w:val="22"/>
        </w:rPr>
      </w:pPr>
    </w:p>
    <w:p w:rsidR="00CB7EBD" w:rsidRPr="006B4FD5" w:rsidRDefault="00CB7EBD" w:rsidP="00CB7EBD">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CB7EBD" w:rsidRPr="006B4FD5" w:rsidRDefault="00CB7EBD" w:rsidP="00CB7EBD">
      <w:pPr>
        <w:pStyle w:val="a5"/>
        <w:spacing w:line="276" w:lineRule="auto"/>
        <w:jc w:val="center"/>
        <w:rPr>
          <w:rFonts w:ascii="Tahoma" w:hAnsi="Tahoma" w:cs="Tahoma"/>
          <w:b/>
          <w:sz w:val="22"/>
          <w:szCs w:val="22"/>
        </w:rPr>
      </w:pPr>
    </w:p>
    <w:p w:rsidR="00CB7EBD" w:rsidRPr="006B4FD5" w:rsidRDefault="00CB7EBD" w:rsidP="00CB7EBD">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CB7EBD" w:rsidRPr="00AF0E81" w:rsidRDefault="00CB7EBD" w:rsidP="00CB7EBD">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CB7EBD" w:rsidRPr="00AF0E81" w:rsidRDefault="00CB7EBD" w:rsidP="00CB7EBD">
      <w:pPr>
        <w:pStyle w:val="a5"/>
        <w:jc w:val="both"/>
        <w:rPr>
          <w:rFonts w:ascii="Tahoma" w:hAnsi="Tahoma" w:cs="Tahoma"/>
          <w:i/>
          <w:sz w:val="14"/>
          <w:szCs w:val="14"/>
        </w:rPr>
      </w:pPr>
    </w:p>
    <w:p w:rsidR="00CB7EBD" w:rsidRDefault="00CB7EBD" w:rsidP="00CB7EBD">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212348">
      <w:pPr>
        <w:pStyle w:val="c2e1f3e9eafc"/>
        <w:spacing w:after="0" w:line="276" w:lineRule="auto"/>
        <w:jc w:val="both"/>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5BA" w:rsidRDefault="00A105BA">
      <w:r>
        <w:separator/>
      </w:r>
    </w:p>
  </w:endnote>
  <w:endnote w:type="continuationSeparator" w:id="0">
    <w:p w:rsidR="00A105BA" w:rsidRDefault="00A105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490D25"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490D25">
        <w:pPr>
          <w:pStyle w:val="a7"/>
          <w:jc w:val="right"/>
        </w:pPr>
        <w:fldSimple w:instr=" PAGE   \* MERGEFORMAT ">
          <w:r w:rsidR="00A105BA">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5BA" w:rsidRDefault="00A105BA">
      <w:r>
        <w:separator/>
      </w:r>
    </w:p>
  </w:footnote>
  <w:footnote w:type="continuationSeparator" w:id="0">
    <w:p w:rsidR="00A105BA" w:rsidRDefault="00A10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234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0D25"/>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2E9"/>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B4ED0"/>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05B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5D06"/>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37389"/>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B7EBD"/>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46DA"/>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BE5D06"/>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3E2CE-275D-46FB-B609-9F0E2DA91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904</Words>
  <Characters>4885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2018-12-21T17:56:00Z</cp:lastPrinted>
  <dcterms:created xsi:type="dcterms:W3CDTF">2018-12-23T17:58:00Z</dcterms:created>
  <dcterms:modified xsi:type="dcterms:W3CDTF">2018-12-23T17:58:00Z</dcterms:modified>
</cp:coreProperties>
</file>