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7379E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379E6">
              <w:rPr>
                <w:rFonts w:ascii="Tahoma" w:hAnsi="Tahoma" w:cs="Tahoma"/>
                <w:b/>
                <w:bCs/>
                <w:sz w:val="22"/>
                <w:szCs w:val="22"/>
              </w:rPr>
              <w:t>622</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147BB8" w:rsidRDefault="00147BB8" w:rsidP="00147BB8">
            <w:pPr>
              <w:rPr>
                <w:rStyle w:val="af1"/>
              </w:rPr>
            </w:pPr>
            <w:r w:rsidRPr="00147BB8">
              <w:rPr>
                <w:rStyle w:val="af1"/>
              </w:rPr>
              <w:t>ΑΔΑ: 7Χ2ΕΩΨΑ-Φ1Υ</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7379E6" w:rsidRPr="007379E6">
              <w:rPr>
                <w:rFonts w:ascii="Tahoma" w:hAnsi="Tahoma" w:cs="Tahoma"/>
                <w:b/>
                <w:sz w:val="22"/>
                <w:szCs w:val="22"/>
              </w:rPr>
              <w:t>Έγκριση 1ου ΑΠΕ και 1ου ΠΚΤΜΝΕ του έργου «Εξωραϊσμός Πλατείας Καραϊσκάκη"</w:t>
            </w:r>
            <w:r w:rsidR="000801CF" w:rsidRPr="000801CF">
              <w:rPr>
                <w:rFonts w:ascii="Tahoma" w:hAnsi="Tahoma" w:cs="Tahoma"/>
                <w:b/>
                <w:sz w:val="22"/>
                <w:szCs w:val="22"/>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Pr="003C4E99" w:rsidRDefault="00C92BF7" w:rsidP="003C4E99">
      <w:pPr>
        <w:pStyle w:val="Web"/>
        <w:spacing w:before="0" w:beforeAutospacing="0" w:after="0" w:afterAutospacing="0" w:line="276" w:lineRule="auto"/>
        <w:ind w:right="-51"/>
        <w:jc w:val="both"/>
        <w:rPr>
          <w:rFonts w:ascii="Tahoma" w:hAnsi="Tahoma" w:cs="Tahoma"/>
          <w:color w:val="000000"/>
          <w:sz w:val="22"/>
          <w:szCs w:val="22"/>
          <w:shd w:val="clear" w:color="auto" w:fill="FFFFFF"/>
        </w:rPr>
      </w:pPr>
      <w:r w:rsidRPr="003C4E99">
        <w:rPr>
          <w:rFonts w:ascii="Tahoma" w:hAnsi="Tahoma" w:cs="Tahoma"/>
          <w:sz w:val="22"/>
          <w:szCs w:val="22"/>
          <w:shd w:val="clear" w:color="auto" w:fill="FFFFFF"/>
        </w:rPr>
        <w:t xml:space="preserve">  </w:t>
      </w:r>
      <w:r w:rsidR="00AA22D6" w:rsidRPr="003C4E99">
        <w:rPr>
          <w:rFonts w:ascii="Tahoma" w:hAnsi="Tahoma" w:cs="Tahoma"/>
          <w:sz w:val="22"/>
          <w:szCs w:val="22"/>
          <w:shd w:val="clear" w:color="auto" w:fill="FFFFFF"/>
        </w:rPr>
        <w:t xml:space="preserve">Ο Πρόεδρος κήρυξε την έναρξη της συνεδρίασης και εισηγούμενος το </w:t>
      </w:r>
      <w:r w:rsidR="007379E6" w:rsidRPr="003C4E99">
        <w:rPr>
          <w:rFonts w:ascii="Tahoma" w:hAnsi="Tahoma" w:cs="Tahoma"/>
          <w:sz w:val="22"/>
          <w:szCs w:val="22"/>
          <w:shd w:val="clear" w:color="auto" w:fill="FFFFFF"/>
        </w:rPr>
        <w:t>4</w:t>
      </w:r>
      <w:r w:rsidR="00AA22D6" w:rsidRPr="003C4E99">
        <w:rPr>
          <w:rFonts w:ascii="Tahoma" w:hAnsi="Tahoma" w:cs="Tahoma"/>
          <w:sz w:val="22"/>
          <w:szCs w:val="22"/>
        </w:rPr>
        <w:t>ο</w:t>
      </w:r>
      <w:r w:rsidR="00AA22D6" w:rsidRPr="003C4E99">
        <w:rPr>
          <w:rFonts w:ascii="Tahoma" w:hAnsi="Tahoma" w:cs="Tahoma"/>
          <w:sz w:val="22"/>
          <w:szCs w:val="22"/>
          <w:shd w:val="clear" w:color="auto" w:fill="FFFFFF"/>
        </w:rPr>
        <w:t xml:space="preserve">  </w:t>
      </w:r>
      <w:r w:rsidR="0052215C" w:rsidRPr="003C4E99">
        <w:rPr>
          <w:rFonts w:ascii="Tahoma" w:hAnsi="Tahoma" w:cs="Tahoma"/>
          <w:sz w:val="22"/>
          <w:szCs w:val="22"/>
          <w:shd w:val="clear" w:color="auto" w:fill="FFFFFF"/>
        </w:rPr>
        <w:t>έκτακτο</w:t>
      </w:r>
      <w:r w:rsidR="00AA22D6" w:rsidRPr="003C4E99">
        <w:rPr>
          <w:rFonts w:ascii="Tahoma" w:hAnsi="Tahoma" w:cs="Tahoma"/>
          <w:sz w:val="22"/>
          <w:szCs w:val="22"/>
          <w:shd w:val="clear" w:color="auto" w:fill="FFFFFF"/>
        </w:rPr>
        <w:t xml:space="preserve">  θέμα της ημερήσιας διάταξης</w:t>
      </w:r>
      <w:r w:rsidR="001D5921" w:rsidRPr="003C4E99">
        <w:rPr>
          <w:rFonts w:ascii="Tahoma" w:hAnsi="Tahoma" w:cs="Tahoma"/>
          <w:sz w:val="22"/>
          <w:szCs w:val="22"/>
          <w:shd w:val="clear" w:color="auto" w:fill="FFFFFF"/>
        </w:rPr>
        <w:t>: «</w:t>
      </w:r>
      <w:r w:rsidR="007379E6" w:rsidRPr="003C4E99">
        <w:rPr>
          <w:rFonts w:ascii="Tahoma" w:hAnsi="Tahoma" w:cs="Tahoma"/>
          <w:b/>
          <w:sz w:val="22"/>
          <w:szCs w:val="22"/>
        </w:rPr>
        <w:t>Έγκριση 1ου ΑΠΕ και 1ου ΠΚΤΜΝΕ του έργου «Εξωραϊσμός Πλατείας Καραϊσκάκη</w:t>
      </w:r>
      <w:r w:rsidR="000801CF" w:rsidRPr="003C4E99">
        <w:rPr>
          <w:rFonts w:ascii="Tahoma" w:hAnsi="Tahoma" w:cs="Tahoma"/>
          <w:b/>
          <w:sz w:val="22"/>
          <w:szCs w:val="22"/>
        </w:rPr>
        <w:t>»</w:t>
      </w:r>
      <w:r w:rsidR="001B524A" w:rsidRPr="003C4E99">
        <w:rPr>
          <w:rFonts w:ascii="Tahoma" w:hAnsi="Tahoma" w:cs="Tahoma"/>
          <w:b/>
          <w:sz w:val="22"/>
          <w:szCs w:val="22"/>
        </w:rPr>
        <w:t xml:space="preserve"> </w:t>
      </w:r>
      <w:bookmarkStart w:id="0" w:name="OLE_LINK6"/>
      <w:r w:rsidR="000801CF" w:rsidRPr="003C4E99">
        <w:rPr>
          <w:rFonts w:ascii="Tahoma" w:hAnsi="Tahoma" w:cs="Tahoma"/>
          <w:sz w:val="22"/>
          <w:szCs w:val="22"/>
        </w:rPr>
        <w:t>έθεσε υπόψη του συμβουλίου τον 1</w:t>
      </w:r>
      <w:r w:rsidR="00B27419" w:rsidRPr="003C4E99">
        <w:rPr>
          <w:rFonts w:ascii="Tahoma" w:hAnsi="Tahoma" w:cs="Tahoma"/>
          <w:sz w:val="22"/>
          <w:szCs w:val="22"/>
        </w:rPr>
        <w:t xml:space="preserve">ο Α.Π.Ε. του ανωτέρω έργου, ο οποίος είναι </w:t>
      </w:r>
      <w:bookmarkStart w:id="1" w:name="OLE_LINK10"/>
      <w:bookmarkStart w:id="2" w:name="OLE_LINK11"/>
      <w:bookmarkStart w:id="3" w:name="OLE_LINK12"/>
      <w:r w:rsidR="003C4E99" w:rsidRPr="003C4E99">
        <w:rPr>
          <w:rFonts w:ascii="Tahoma" w:hAnsi="Tahoma" w:cs="Tahoma"/>
          <w:sz w:val="22"/>
          <w:szCs w:val="22"/>
        </w:rPr>
        <w:t xml:space="preserve">προτεινόμενης δαπάνης 81.796,59€ χωρίς Φ.Π.Α. και 101.427,77€ με Φ.Π.Α. και παρουσιάζει μείωση κατά 2.675,81€ σε σχέση με τη συμβατική δαπάνη του έργου </w:t>
      </w:r>
      <w:r w:rsidR="00B27419" w:rsidRPr="003C4E99">
        <w:rPr>
          <w:rFonts w:ascii="Tahoma" w:hAnsi="Tahoma" w:cs="Tahoma"/>
          <w:sz w:val="22"/>
          <w:szCs w:val="22"/>
        </w:rPr>
        <w:t>και συντάχθηκε από την ΤΥΔ . </w:t>
      </w:r>
      <w:bookmarkEnd w:id="1"/>
      <w:bookmarkEnd w:id="2"/>
      <w:bookmarkEnd w:id="3"/>
    </w:p>
    <w:p w:rsidR="00672227" w:rsidRDefault="00672227" w:rsidP="008C6BAE">
      <w:pPr>
        <w:pStyle w:val="af4"/>
        <w:spacing w:line="276" w:lineRule="auto"/>
        <w:jc w:val="both"/>
        <w:rPr>
          <w:rFonts w:ascii="Tahoma" w:hAnsi="Tahoma" w:cs="Tahoma"/>
          <w:color w:val="000000"/>
          <w:szCs w:val="22"/>
          <w:shd w:val="clear" w:color="auto" w:fill="FFFFFF"/>
        </w:rPr>
      </w:pPr>
    </w:p>
    <w:bookmarkEnd w:id="0"/>
    <w:p w:rsidR="003C4E99" w:rsidRPr="00D47129" w:rsidRDefault="003C4E99" w:rsidP="003C4E99">
      <w:pPr>
        <w:spacing w:line="276" w:lineRule="auto"/>
        <w:jc w:val="both"/>
        <w:rPr>
          <w:rFonts w:ascii="Tahoma" w:hAnsi="Tahoma" w:cs="Tahoma"/>
          <w:sz w:val="22"/>
          <w:szCs w:val="22"/>
        </w:rPr>
      </w:pPr>
      <w:r w:rsidRPr="00D47129">
        <w:rPr>
          <w:rFonts w:ascii="Tahoma" w:hAnsi="Tahoma" w:cs="Tahoma"/>
          <w:sz w:val="22"/>
          <w:szCs w:val="22"/>
        </w:rPr>
        <w:t>Ο 1</w:t>
      </w:r>
      <w:r w:rsidRPr="00D47129">
        <w:rPr>
          <w:rFonts w:ascii="Tahoma" w:hAnsi="Tahoma" w:cs="Tahoma"/>
          <w:sz w:val="22"/>
          <w:szCs w:val="22"/>
          <w:vertAlign w:val="superscript"/>
        </w:rPr>
        <w:t>ος</w:t>
      </w:r>
      <w:r w:rsidRPr="00D47129">
        <w:rPr>
          <w:rFonts w:ascii="Tahoma" w:hAnsi="Tahoma" w:cs="Tahoma"/>
          <w:sz w:val="22"/>
          <w:szCs w:val="22"/>
        </w:rPr>
        <w:t xml:space="preserve"> Α.Π.Ε. συντάχθηκε σύμφωνα με το 1</w:t>
      </w:r>
      <w:r w:rsidRPr="00D47129">
        <w:rPr>
          <w:rFonts w:ascii="Tahoma" w:hAnsi="Tahoma" w:cs="Tahoma"/>
          <w:sz w:val="22"/>
          <w:szCs w:val="22"/>
          <w:vertAlign w:val="superscript"/>
        </w:rPr>
        <w:t>ο</w:t>
      </w:r>
      <w:r w:rsidRPr="00D47129">
        <w:rPr>
          <w:rFonts w:ascii="Tahoma" w:hAnsi="Tahoma" w:cs="Tahoma"/>
          <w:sz w:val="22"/>
          <w:szCs w:val="22"/>
        </w:rPr>
        <w:t xml:space="preserve"> ΠΠΑΕ και τις αναλυτικές επιμετρήσεις που έχουν εγκριθεί έως σήμερα και με </w:t>
      </w:r>
      <w:proofErr w:type="spellStart"/>
      <w:r w:rsidRPr="00D47129">
        <w:rPr>
          <w:rFonts w:ascii="Tahoma" w:hAnsi="Tahoma" w:cs="Tahoma"/>
          <w:sz w:val="22"/>
          <w:szCs w:val="22"/>
        </w:rPr>
        <w:t>προμέτρηση</w:t>
      </w:r>
      <w:proofErr w:type="spellEnd"/>
      <w:r w:rsidRPr="00D47129">
        <w:rPr>
          <w:rFonts w:ascii="Tahoma" w:hAnsi="Tahoma" w:cs="Tahoma"/>
          <w:sz w:val="22"/>
          <w:szCs w:val="22"/>
        </w:rPr>
        <w:t xml:space="preserve"> των εργασιών που υπολείπονται να γίνουν για τις διαφοροποιημένες ποσότητες εργασιών έως το πέρας του έργου. Περιλαμβάνει αυξομειώσεις ποσοτήτων μεταξύ των εργασιών και τις εργασίες του 1</w:t>
      </w:r>
      <w:r w:rsidRPr="00D47129">
        <w:rPr>
          <w:rFonts w:ascii="Tahoma" w:hAnsi="Tahoma" w:cs="Tahoma"/>
          <w:sz w:val="22"/>
          <w:szCs w:val="22"/>
          <w:vertAlign w:val="superscript"/>
        </w:rPr>
        <w:t>ου</w:t>
      </w:r>
      <w:r w:rsidRPr="00D47129">
        <w:rPr>
          <w:rFonts w:ascii="Tahoma" w:hAnsi="Tahoma" w:cs="Tahoma"/>
          <w:sz w:val="22"/>
          <w:szCs w:val="22"/>
        </w:rPr>
        <w:t xml:space="preserve"> Πρωτοκόλλου Κανονισμού Τιμών Μονάδος Νέων Εργασιών (Π.Κ.Τ.Μ.Ν.Ε.) με το οποίο τιμολογούνται οι νέες εργασίες: φωτιστικό σώμα </w:t>
      </w:r>
      <w:r w:rsidRPr="00D47129">
        <w:rPr>
          <w:rFonts w:ascii="Tahoma" w:hAnsi="Tahoma" w:cs="Tahoma"/>
          <w:sz w:val="22"/>
          <w:szCs w:val="22"/>
          <w:lang w:val="en-GB"/>
        </w:rPr>
        <w:t>LED</w:t>
      </w:r>
      <w:r w:rsidRPr="00D47129">
        <w:rPr>
          <w:rFonts w:ascii="Tahoma" w:hAnsi="Tahoma" w:cs="Tahoma"/>
          <w:sz w:val="22"/>
          <w:szCs w:val="22"/>
        </w:rPr>
        <w:t xml:space="preserve"> επί κορυφής ιστού, ανακαίνιση βαφής χαλύβδινων ιστών φωτισμού επί τόπου του έργου και </w:t>
      </w:r>
      <w:proofErr w:type="spellStart"/>
      <w:r w:rsidRPr="00D47129">
        <w:rPr>
          <w:rFonts w:ascii="Tahoma" w:hAnsi="Tahoma" w:cs="Tahoma"/>
          <w:sz w:val="22"/>
          <w:szCs w:val="22"/>
        </w:rPr>
        <w:t>ακροκιβώτιο</w:t>
      </w:r>
      <w:proofErr w:type="spellEnd"/>
      <w:r w:rsidRPr="00D47129">
        <w:rPr>
          <w:rFonts w:ascii="Tahoma" w:hAnsi="Tahoma" w:cs="Tahoma"/>
          <w:sz w:val="22"/>
          <w:szCs w:val="22"/>
        </w:rPr>
        <w:t xml:space="preserve"> ιστού για μονό βραχίονα.</w:t>
      </w:r>
    </w:p>
    <w:p w:rsidR="003C4E99" w:rsidRPr="00D47129" w:rsidRDefault="003C4E99" w:rsidP="003C4E99">
      <w:pPr>
        <w:spacing w:line="276" w:lineRule="auto"/>
        <w:jc w:val="both"/>
        <w:rPr>
          <w:rFonts w:ascii="Tahoma" w:hAnsi="Tahoma" w:cs="Tahoma"/>
          <w:sz w:val="22"/>
          <w:szCs w:val="22"/>
        </w:rPr>
      </w:pPr>
      <w:r w:rsidRPr="00D47129">
        <w:rPr>
          <w:rFonts w:ascii="Tahoma" w:hAnsi="Tahoma" w:cs="Tahoma"/>
          <w:sz w:val="22"/>
          <w:szCs w:val="22"/>
        </w:rPr>
        <w:t xml:space="preserve">Η τοποθέτηση των νέων φωτιστικών </w:t>
      </w:r>
      <w:r w:rsidRPr="00D47129">
        <w:rPr>
          <w:rFonts w:ascii="Tahoma" w:hAnsi="Tahoma" w:cs="Tahoma"/>
          <w:sz w:val="22"/>
          <w:szCs w:val="22"/>
          <w:lang w:val="en-US"/>
        </w:rPr>
        <w:t>LED</w:t>
      </w:r>
      <w:r w:rsidRPr="00D47129">
        <w:rPr>
          <w:rFonts w:ascii="Tahoma" w:hAnsi="Tahoma" w:cs="Tahoma"/>
          <w:sz w:val="22"/>
          <w:szCs w:val="22"/>
        </w:rPr>
        <w:t xml:space="preserve">, κρίθηκε αναγκαία διότι μετά την ανάπλαση και τη νέα διαμόρφωση των χώρων διαπιστώθηκε ότι ο υπάρχων φωτισμός ήταν ελλιπής και δεν κάλυπτε με σωστό τρόπο τόσο τεχνικά όσο και αισθητικά, όλους τους χώρους. </w:t>
      </w:r>
    </w:p>
    <w:p w:rsidR="003C4E99" w:rsidRDefault="003C4E99" w:rsidP="003C4E99">
      <w:pPr>
        <w:spacing w:line="276" w:lineRule="auto"/>
        <w:jc w:val="both"/>
        <w:rPr>
          <w:rFonts w:ascii="Tahoma" w:hAnsi="Tahoma" w:cs="Tahoma"/>
          <w:sz w:val="22"/>
          <w:szCs w:val="22"/>
        </w:rPr>
      </w:pPr>
      <w:r w:rsidRPr="00D47129">
        <w:rPr>
          <w:rFonts w:ascii="Tahoma" w:hAnsi="Tahoma" w:cs="Tahoma"/>
          <w:sz w:val="22"/>
          <w:szCs w:val="22"/>
        </w:rPr>
        <w:t xml:space="preserve">Οι εργασίες ανακαίνισης της βαφής και η τοποθέτηση των </w:t>
      </w:r>
      <w:proofErr w:type="spellStart"/>
      <w:r w:rsidRPr="00D47129">
        <w:rPr>
          <w:rFonts w:ascii="Tahoma" w:hAnsi="Tahoma" w:cs="Tahoma"/>
          <w:sz w:val="22"/>
          <w:szCs w:val="22"/>
        </w:rPr>
        <w:t>ακροκιβωτίων</w:t>
      </w:r>
      <w:proofErr w:type="spellEnd"/>
      <w:r w:rsidRPr="00D47129">
        <w:rPr>
          <w:rFonts w:ascii="Tahoma" w:hAnsi="Tahoma" w:cs="Tahoma"/>
          <w:sz w:val="22"/>
          <w:szCs w:val="22"/>
        </w:rPr>
        <w:t xml:space="preserve"> κρίθηκαν αναγκαίες λόγω παλαιότητας και καλαισθησίας.</w:t>
      </w:r>
    </w:p>
    <w:p w:rsidR="003C4E99" w:rsidRPr="00D47129" w:rsidRDefault="003C4E99" w:rsidP="003C4E99">
      <w:pPr>
        <w:spacing w:line="276" w:lineRule="auto"/>
        <w:jc w:val="both"/>
        <w:rPr>
          <w:rFonts w:ascii="Tahoma" w:hAnsi="Tahoma" w:cs="Tahoma"/>
          <w:sz w:val="22"/>
          <w:szCs w:val="22"/>
        </w:rPr>
      </w:pPr>
    </w:p>
    <w:p w:rsidR="003C4E99" w:rsidRDefault="003C4E99" w:rsidP="003C4E99">
      <w:pPr>
        <w:spacing w:line="276" w:lineRule="auto"/>
        <w:jc w:val="both"/>
        <w:rPr>
          <w:rFonts w:ascii="Tahoma" w:hAnsi="Tahoma" w:cs="Tahoma"/>
          <w:sz w:val="22"/>
          <w:szCs w:val="22"/>
        </w:rPr>
      </w:pPr>
      <w:r w:rsidRPr="00D47129">
        <w:rPr>
          <w:rFonts w:ascii="Tahoma" w:hAnsi="Tahoma" w:cs="Tahoma"/>
          <w:sz w:val="22"/>
          <w:szCs w:val="22"/>
        </w:rPr>
        <w:t>Με τις εργασίες του 1</w:t>
      </w:r>
      <w:r w:rsidRPr="00D47129">
        <w:rPr>
          <w:rFonts w:ascii="Tahoma" w:hAnsi="Tahoma" w:cs="Tahoma"/>
          <w:sz w:val="22"/>
          <w:szCs w:val="22"/>
          <w:vertAlign w:val="superscript"/>
        </w:rPr>
        <w:t>ου</w:t>
      </w:r>
      <w:r w:rsidRPr="00D47129">
        <w:rPr>
          <w:rFonts w:ascii="Tahoma" w:hAnsi="Tahoma" w:cs="Tahoma"/>
          <w:sz w:val="22"/>
          <w:szCs w:val="22"/>
        </w:rPr>
        <w:t xml:space="preserve"> Α.Π.Ε. ολοκληρώνονται οι εργασίες που είχαν περιληφθεί στο αντικείμενο της μελέτης του έργου, χωρίς να προκαλείται αλλαγή του βασικού σχεδίου της αρχικής σύμβασης και να θίγεται η πληρότητα, η ποιότητα και η λειτουργικότητα του έργου, δεν καταργείται ομάδα εργασιών, δεν τροποποιούνται οι προδιαγραφές και δεν προκαλείται αύξηση του έργου. </w:t>
      </w:r>
    </w:p>
    <w:p w:rsidR="003C4E99" w:rsidRPr="00D47129" w:rsidRDefault="003C4E99" w:rsidP="003C4E99">
      <w:pPr>
        <w:spacing w:line="276" w:lineRule="auto"/>
        <w:jc w:val="both"/>
        <w:rPr>
          <w:rFonts w:ascii="Tahoma" w:hAnsi="Tahoma" w:cs="Tahoma"/>
          <w:sz w:val="22"/>
          <w:szCs w:val="22"/>
        </w:rPr>
      </w:pPr>
    </w:p>
    <w:p w:rsidR="003C4E99" w:rsidRDefault="003C4E99" w:rsidP="003C4E99">
      <w:pPr>
        <w:spacing w:line="276" w:lineRule="auto"/>
        <w:jc w:val="both"/>
        <w:rPr>
          <w:rFonts w:ascii="Tahoma" w:hAnsi="Tahoma" w:cs="Tahoma"/>
          <w:sz w:val="22"/>
          <w:szCs w:val="22"/>
        </w:rPr>
      </w:pPr>
      <w:r w:rsidRPr="00D47129">
        <w:rPr>
          <w:rFonts w:ascii="Tahoma" w:hAnsi="Tahoma" w:cs="Tahoma"/>
          <w:sz w:val="22"/>
          <w:szCs w:val="22"/>
        </w:rPr>
        <w:t>Ο 1</w:t>
      </w:r>
      <w:r w:rsidRPr="00D47129">
        <w:rPr>
          <w:rFonts w:ascii="Tahoma" w:hAnsi="Tahoma" w:cs="Tahoma"/>
          <w:sz w:val="22"/>
          <w:szCs w:val="22"/>
          <w:vertAlign w:val="superscript"/>
        </w:rPr>
        <w:t>ος</w:t>
      </w:r>
      <w:r w:rsidRPr="00D47129">
        <w:rPr>
          <w:rFonts w:ascii="Tahoma" w:hAnsi="Tahoma" w:cs="Tahoma"/>
          <w:sz w:val="22"/>
          <w:szCs w:val="22"/>
        </w:rPr>
        <w:t xml:space="preserve"> Α.Π.Ε. συντάχθηκε σύμφωνα με τις διατάξεις του άρθρου 156 του Ν. 4412/2016 και περιλαμβάνει την ανάλωση μέρους των απρόβλεπτων δαπανών για τη διόρθωση </w:t>
      </w:r>
      <w:proofErr w:type="spellStart"/>
      <w:r w:rsidRPr="00D47129">
        <w:rPr>
          <w:rFonts w:ascii="Tahoma" w:hAnsi="Tahoma" w:cs="Tahoma"/>
          <w:sz w:val="22"/>
          <w:szCs w:val="22"/>
        </w:rPr>
        <w:t>προμετρητικών</w:t>
      </w:r>
      <w:proofErr w:type="spellEnd"/>
      <w:r w:rsidRPr="00D47129">
        <w:rPr>
          <w:rFonts w:ascii="Tahoma" w:hAnsi="Tahoma" w:cs="Tahoma"/>
          <w:sz w:val="22"/>
          <w:szCs w:val="22"/>
        </w:rPr>
        <w:t xml:space="preserve"> παραλείψεων της μελέτης που προέκυψαν κατά τη πορεία του έργου καθώς και για να συμπεριλάβει τις νέες εργασίες. Οι επί έλασσον δαπάνες των ομάδων δεν υπερβαίνουν το ποσοτικό όριο του 20% της συμβατικής δαπάνης των ομάδων τους και το 10% της σύμβασης. </w:t>
      </w:r>
    </w:p>
    <w:p w:rsidR="003C4E99" w:rsidRPr="00D47129" w:rsidRDefault="003C4E99" w:rsidP="003C4E99">
      <w:pPr>
        <w:spacing w:line="276" w:lineRule="auto"/>
        <w:jc w:val="both"/>
        <w:rPr>
          <w:rFonts w:ascii="Tahoma" w:hAnsi="Tahoma" w:cs="Tahoma"/>
          <w:sz w:val="22"/>
          <w:szCs w:val="22"/>
        </w:rPr>
      </w:pPr>
    </w:p>
    <w:p w:rsidR="007379E6" w:rsidRDefault="003C4E99" w:rsidP="003C4E99">
      <w:pPr>
        <w:pStyle w:val="Web"/>
        <w:spacing w:before="0" w:beforeAutospacing="0" w:after="0" w:afterAutospacing="0" w:line="276" w:lineRule="auto"/>
        <w:ind w:left="426" w:right="-51"/>
        <w:jc w:val="both"/>
        <w:rPr>
          <w:rFonts w:ascii="Tahoma" w:hAnsi="Tahoma" w:cs="Tahoma"/>
          <w:sz w:val="22"/>
          <w:szCs w:val="22"/>
        </w:rPr>
      </w:pPr>
      <w:r w:rsidRPr="00D47129">
        <w:rPr>
          <w:rFonts w:ascii="Tahoma" w:hAnsi="Tahoma" w:cs="Tahoma"/>
          <w:sz w:val="22"/>
          <w:szCs w:val="22"/>
        </w:rPr>
        <w:t>Ο 1</w:t>
      </w:r>
      <w:r w:rsidRPr="00D47129">
        <w:rPr>
          <w:rFonts w:ascii="Tahoma" w:hAnsi="Tahoma" w:cs="Tahoma"/>
          <w:sz w:val="22"/>
          <w:szCs w:val="22"/>
          <w:vertAlign w:val="superscript"/>
        </w:rPr>
        <w:t>ος</w:t>
      </w:r>
      <w:r w:rsidRPr="00D47129">
        <w:rPr>
          <w:rFonts w:ascii="Tahoma" w:hAnsi="Tahoma" w:cs="Tahoma"/>
          <w:sz w:val="22"/>
          <w:szCs w:val="22"/>
        </w:rPr>
        <w:t xml:space="preserve"> Ανακεφαλαιωτικός Πίνακας Εργασιών (1</w:t>
      </w:r>
      <w:r w:rsidRPr="00D47129">
        <w:rPr>
          <w:rFonts w:ascii="Tahoma" w:hAnsi="Tahoma" w:cs="Tahoma"/>
          <w:sz w:val="22"/>
          <w:szCs w:val="22"/>
          <w:vertAlign w:val="superscript"/>
        </w:rPr>
        <w:t>ος</w:t>
      </w:r>
      <w:r w:rsidRPr="00D47129">
        <w:rPr>
          <w:rFonts w:ascii="Tahoma" w:hAnsi="Tahoma" w:cs="Tahoma"/>
          <w:sz w:val="22"/>
          <w:szCs w:val="22"/>
        </w:rPr>
        <w:t xml:space="preserve"> ΑΠΕ) είναι προτεινόμενης δαπάνης 81.796,59€ χωρίς Φ.Π.Α. και 101.427,77€ με Φ.Π.Α. και παρουσιάζει μείωση κατά 2.675,81€ σε σχέση με τη συμβατική δαπάνη του έργου</w:t>
      </w:r>
    </w:p>
    <w:p w:rsidR="003C4E99" w:rsidRPr="00D93FF3" w:rsidRDefault="003C4E99" w:rsidP="003C4E99">
      <w:pPr>
        <w:pStyle w:val="Web"/>
        <w:spacing w:before="0" w:beforeAutospacing="0" w:after="0" w:afterAutospacing="0" w:line="276" w:lineRule="auto"/>
        <w:ind w:left="426" w:right="-51"/>
        <w:jc w:val="both"/>
        <w:rPr>
          <w:rFonts w:ascii="Tahoma" w:hAnsi="Tahoma" w:cs="Tahoma"/>
          <w:sz w:val="22"/>
          <w:szCs w:val="22"/>
        </w:rPr>
      </w:pPr>
    </w:p>
    <w:p w:rsidR="00BB4972" w:rsidRPr="00441864" w:rsidRDefault="006B4FD5" w:rsidP="000801CF">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Default="00BB4972" w:rsidP="00BB4972">
      <w:pPr>
        <w:pStyle w:val="Default"/>
        <w:spacing w:line="276" w:lineRule="auto"/>
        <w:jc w:val="both"/>
        <w:rPr>
          <w:rFonts w:ascii="Tahoma" w:hAnsi="Tahoma" w:cs="Tahoma"/>
          <w:sz w:val="22"/>
          <w:szCs w:val="22"/>
          <w:lang w:val="en-US"/>
        </w:rPr>
      </w:pPr>
    </w:p>
    <w:p w:rsidR="00047171" w:rsidRPr="00047171" w:rsidRDefault="00047171" w:rsidP="00BB4972">
      <w:pPr>
        <w:pStyle w:val="Default"/>
        <w:spacing w:line="276" w:lineRule="auto"/>
        <w:jc w:val="both"/>
        <w:rPr>
          <w:rFonts w:ascii="Tahoma" w:hAnsi="Tahoma" w:cs="Tahoma"/>
          <w:sz w:val="22"/>
          <w:szCs w:val="22"/>
          <w:lang w:val="en-US"/>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lastRenderedPageBreak/>
        <w:t>ΤΟ ΔΗΜΟΤΙΚΟ ΣΥΜΒΟΥΛΙΟ</w:t>
      </w:r>
    </w:p>
    <w:p w:rsidR="008C6BAE" w:rsidRPr="000934B2" w:rsidRDefault="008C6BAE" w:rsidP="00BB4972">
      <w:pPr>
        <w:jc w:val="center"/>
        <w:rPr>
          <w:rFonts w:ascii="Tahoma" w:hAnsi="Tahoma" w:cs="Tahoma"/>
          <w:b/>
          <w:color w:val="000000"/>
          <w:sz w:val="22"/>
          <w:szCs w:val="22"/>
        </w:rPr>
      </w:pPr>
    </w:p>
    <w:p w:rsidR="00223789" w:rsidRPr="00CC6CA3" w:rsidRDefault="00223789" w:rsidP="003C4E99">
      <w:pPr>
        <w:spacing w:line="276" w:lineRule="auto"/>
        <w:rPr>
          <w:rFonts w:ascii="Tahoma" w:hAnsi="Tahoma" w:cs="Tahoma"/>
          <w:sz w:val="22"/>
          <w:szCs w:val="22"/>
        </w:rPr>
      </w:pPr>
      <w:r w:rsidRPr="00CC6CA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CC6CA3">
        <w:rPr>
          <w:rFonts w:ascii="Tahoma" w:hAnsi="Tahoma" w:cs="Tahoma"/>
          <w:color w:val="000000"/>
          <w:sz w:val="22"/>
          <w:szCs w:val="22"/>
        </w:rPr>
        <w:br/>
      </w:r>
      <w:r w:rsidRPr="00CC6CA3">
        <w:rPr>
          <w:rFonts w:ascii="Tahoma" w:hAnsi="Tahoma" w:cs="Tahoma"/>
          <w:color w:val="000000"/>
          <w:sz w:val="22"/>
          <w:szCs w:val="22"/>
          <w:shd w:val="clear" w:color="auto" w:fill="FFFFFF"/>
        </w:rPr>
        <w:t>                                               </w:t>
      </w:r>
    </w:p>
    <w:p w:rsidR="00223789" w:rsidRPr="00CC6CA3" w:rsidRDefault="00223789" w:rsidP="00223789">
      <w:pPr>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CC6CA3">
        <w:rPr>
          <w:rFonts w:ascii="Tahoma" w:hAnsi="Tahoma" w:cs="Tahoma"/>
          <w:b/>
          <w:color w:val="000000"/>
          <w:sz w:val="22"/>
          <w:szCs w:val="22"/>
        </w:rPr>
        <w:t xml:space="preserve">ΑΠΟΦΑΣΙΖΕΙ </w:t>
      </w:r>
      <w:r w:rsidRPr="00CC6CA3">
        <w:rPr>
          <w:rFonts w:ascii="Tahoma" w:hAnsi="Tahoma" w:cs="Tahoma"/>
          <w:b/>
          <w:color w:val="000000"/>
          <w:sz w:val="22"/>
          <w:szCs w:val="22"/>
          <w:shd w:val="clear" w:color="auto" w:fill="FFFFFF"/>
        </w:rPr>
        <w:t> ΟΜΟΦΩΝΑ</w:t>
      </w:r>
    </w:p>
    <w:p w:rsidR="00223789" w:rsidRPr="00CC6CA3" w:rsidRDefault="00223789" w:rsidP="00223789">
      <w:pPr>
        <w:rPr>
          <w:rFonts w:ascii="Tahoma" w:hAnsi="Tahoma" w:cs="Tahoma"/>
          <w:sz w:val="22"/>
          <w:szCs w:val="22"/>
        </w:rPr>
      </w:pPr>
    </w:p>
    <w:p w:rsidR="008C6BAE" w:rsidRPr="003C4E99" w:rsidRDefault="00223789" w:rsidP="003C4E99">
      <w:pPr>
        <w:pStyle w:val="Web"/>
        <w:spacing w:before="0" w:beforeAutospacing="0" w:after="0" w:afterAutospacing="0" w:line="276" w:lineRule="auto"/>
        <w:ind w:right="-51"/>
        <w:jc w:val="both"/>
        <w:rPr>
          <w:rFonts w:ascii="Tahoma" w:hAnsi="Tahoma" w:cs="Tahoma"/>
          <w:sz w:val="22"/>
          <w:szCs w:val="22"/>
        </w:rPr>
      </w:pPr>
      <w:r w:rsidRPr="003C4E99">
        <w:rPr>
          <w:rFonts w:ascii="Tahoma" w:hAnsi="Tahoma" w:cs="Tahoma"/>
          <w:color w:val="000000"/>
          <w:sz w:val="22"/>
          <w:szCs w:val="22"/>
        </w:rPr>
        <w:t xml:space="preserve">Α.- Την έγκριση του </w:t>
      </w:r>
      <w:r w:rsidR="003C4E99" w:rsidRPr="003C4E99">
        <w:rPr>
          <w:rFonts w:ascii="Tahoma" w:hAnsi="Tahoma" w:cs="Tahoma"/>
          <w:b/>
          <w:sz w:val="22"/>
          <w:szCs w:val="22"/>
        </w:rPr>
        <w:t>1ου ΑΠΕ του έργου «Εξωραϊσμός Πλατείας Καραϊσκάκη</w:t>
      </w:r>
      <w:r w:rsidR="00A977C3" w:rsidRPr="003C4E99">
        <w:rPr>
          <w:rFonts w:ascii="Tahoma" w:hAnsi="Tahoma" w:cs="Tahoma"/>
          <w:b/>
          <w:sz w:val="22"/>
          <w:szCs w:val="22"/>
        </w:rPr>
        <w:t>»</w:t>
      </w:r>
      <w:r w:rsidRPr="003C4E99">
        <w:rPr>
          <w:rFonts w:ascii="Tahoma" w:hAnsi="Tahoma" w:cs="Tahoma"/>
          <w:sz w:val="22"/>
          <w:szCs w:val="22"/>
        </w:rPr>
        <w:t xml:space="preserve"> ο οποίος είναι </w:t>
      </w:r>
      <w:proofErr w:type="spellStart"/>
      <w:r w:rsidR="003C4E99" w:rsidRPr="003C4E99">
        <w:rPr>
          <w:rFonts w:ascii="Tahoma" w:hAnsi="Tahoma" w:cs="Tahoma"/>
          <w:sz w:val="22"/>
          <w:szCs w:val="22"/>
        </w:rPr>
        <w:t>είναι</w:t>
      </w:r>
      <w:proofErr w:type="spellEnd"/>
      <w:r w:rsidR="003C4E99" w:rsidRPr="003C4E99">
        <w:rPr>
          <w:rFonts w:ascii="Tahoma" w:hAnsi="Tahoma" w:cs="Tahoma"/>
          <w:sz w:val="22"/>
          <w:szCs w:val="22"/>
        </w:rPr>
        <w:t xml:space="preserve"> προτεινόμενης δαπάνης 81.796,59€ χωρίς Φ.Π.Α. και 101.427,77€ με Φ.Π.Α. και παρουσιάζει μείωση κατά 2.675,81€ σε σχέση με τη συμβατική δαπάνη του έργου </w:t>
      </w:r>
      <w:r w:rsidR="00A977C3" w:rsidRPr="003C4E99">
        <w:rPr>
          <w:rFonts w:ascii="Tahoma" w:hAnsi="Tahoma" w:cs="Tahoma"/>
          <w:sz w:val="22"/>
          <w:szCs w:val="22"/>
        </w:rPr>
        <w:t xml:space="preserve"> </w:t>
      </w:r>
      <w:r w:rsidRPr="003C4E99">
        <w:rPr>
          <w:rFonts w:ascii="Tahoma" w:hAnsi="Tahoma" w:cs="Tahoma"/>
          <w:sz w:val="22"/>
          <w:szCs w:val="22"/>
        </w:rPr>
        <w:t xml:space="preserve">και συντάχθηκε από την ΤΥΔ .   </w:t>
      </w:r>
    </w:p>
    <w:p w:rsidR="003C4E99" w:rsidRPr="003C4E99" w:rsidRDefault="003C4E99" w:rsidP="003C4E99">
      <w:pPr>
        <w:pStyle w:val="Web"/>
        <w:spacing w:before="0" w:beforeAutospacing="0" w:after="0" w:afterAutospacing="0" w:line="276" w:lineRule="auto"/>
        <w:ind w:right="-51"/>
        <w:jc w:val="both"/>
        <w:rPr>
          <w:rFonts w:ascii="Tahoma" w:hAnsi="Tahoma" w:cs="Tahoma"/>
          <w:bCs/>
          <w:color w:val="000000"/>
          <w:sz w:val="22"/>
          <w:szCs w:val="22"/>
        </w:rPr>
      </w:pPr>
    </w:p>
    <w:p w:rsidR="007167D2" w:rsidRPr="003C4E99" w:rsidRDefault="007379E6" w:rsidP="007167D2">
      <w:pPr>
        <w:pStyle w:val="Web"/>
        <w:spacing w:before="0" w:beforeAutospacing="0" w:after="0" w:afterAutospacing="0" w:line="276" w:lineRule="auto"/>
        <w:ind w:right="-51"/>
        <w:jc w:val="both"/>
        <w:rPr>
          <w:rFonts w:ascii="Tahoma" w:hAnsi="Tahoma" w:cs="Tahoma"/>
          <w:sz w:val="22"/>
          <w:szCs w:val="22"/>
        </w:rPr>
      </w:pPr>
      <w:r w:rsidRPr="003C4E99">
        <w:rPr>
          <w:rFonts w:ascii="Tahoma" w:hAnsi="Tahoma" w:cs="Tahoma"/>
          <w:sz w:val="22"/>
          <w:szCs w:val="22"/>
        </w:rPr>
        <w:t>Β.- Την έγκριση του 1ου ΠΚΤΜΝΕ</w:t>
      </w:r>
      <w:r w:rsidRPr="003C4E99">
        <w:rPr>
          <w:rFonts w:ascii="Tahoma" w:hAnsi="Tahoma" w:cs="Tahoma"/>
          <w:b/>
          <w:sz w:val="22"/>
          <w:szCs w:val="22"/>
        </w:rPr>
        <w:t xml:space="preserve"> </w:t>
      </w:r>
      <w:r w:rsidRPr="003C4E99">
        <w:rPr>
          <w:rFonts w:ascii="Tahoma" w:hAnsi="Tahoma" w:cs="Tahoma"/>
          <w:sz w:val="22"/>
          <w:szCs w:val="22"/>
        </w:rPr>
        <w:t>που</w:t>
      </w:r>
      <w:r w:rsidRPr="003C4E99">
        <w:rPr>
          <w:rFonts w:ascii="Tahoma" w:hAnsi="Tahoma" w:cs="Tahoma"/>
          <w:b/>
          <w:sz w:val="22"/>
          <w:szCs w:val="22"/>
        </w:rPr>
        <w:t xml:space="preserve"> </w:t>
      </w:r>
      <w:r w:rsidRPr="003C4E99">
        <w:rPr>
          <w:rFonts w:ascii="Tahoma" w:hAnsi="Tahoma" w:cs="Tahoma"/>
          <w:sz w:val="22"/>
          <w:szCs w:val="22"/>
        </w:rPr>
        <w:t>συντάχθηκε και περιλαμβάνει τιμές μονάδος νέων εργασιών που απαιτούνται για την άρτια και έντεχνη κατασκευή του έργου</w:t>
      </w:r>
    </w:p>
    <w:p w:rsidR="007379E6" w:rsidRDefault="007379E6" w:rsidP="007167D2">
      <w:pPr>
        <w:pStyle w:val="Web"/>
        <w:spacing w:before="0" w:beforeAutospacing="0" w:after="0" w:afterAutospacing="0" w:line="276" w:lineRule="auto"/>
        <w:ind w:right="-51"/>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DB2B74">
        <w:rPr>
          <w:rFonts w:ascii="Tahoma" w:hAnsi="Tahoma" w:cs="Tahoma"/>
          <w:b/>
        </w:rPr>
        <w:t>622</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542A18">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EB9" w:rsidRDefault="00385EB9">
      <w:r>
        <w:separator/>
      </w:r>
    </w:p>
  </w:endnote>
  <w:endnote w:type="continuationSeparator" w:id="0">
    <w:p w:rsidR="00385EB9" w:rsidRDefault="00385E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E1B47"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E1B47">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47BB8">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EB9" w:rsidRDefault="00385EB9">
      <w:r>
        <w:separator/>
      </w:r>
    </w:p>
  </w:footnote>
  <w:footnote w:type="continuationSeparator" w:id="0">
    <w:p w:rsidR="00385EB9" w:rsidRDefault="00385E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171"/>
    <w:rsid w:val="000475AC"/>
    <w:rsid w:val="0004790E"/>
    <w:rsid w:val="000506D9"/>
    <w:rsid w:val="00050CB2"/>
    <w:rsid w:val="00051B64"/>
    <w:rsid w:val="000520D0"/>
    <w:rsid w:val="00052148"/>
    <w:rsid w:val="00056556"/>
    <w:rsid w:val="0006089E"/>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47BB8"/>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0C72"/>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5EB9"/>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4E99"/>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5C"/>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2A18"/>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1B47"/>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1557"/>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9E6"/>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7C3"/>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386"/>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1B08"/>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2B74"/>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B52CFFE-4628-4256-B0FE-ACC1198A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983</Words>
  <Characters>5312</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2018-11-07T12:15:00Z</cp:lastPrinted>
  <dcterms:created xsi:type="dcterms:W3CDTF">2018-11-07T06:30:00Z</dcterms:created>
  <dcterms:modified xsi:type="dcterms:W3CDTF">2018-11-07T12:18:00Z</dcterms:modified>
</cp:coreProperties>
</file>