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A2" w:rsidRDefault="009933A2" w:rsidP="001273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933A2" w:rsidRDefault="009933A2" w:rsidP="009933A2">
      <w:pPr>
        <w:jc w:val="both"/>
        <w:rPr>
          <w:rFonts w:ascii="Comic Sans MS" w:hAnsi="Comic Sans MS"/>
          <w:sz w:val="20"/>
          <w:szCs w:val="20"/>
        </w:rPr>
      </w:pPr>
    </w:p>
    <w:p w:rsidR="009933A2" w:rsidRDefault="002F7024" w:rsidP="009933A2">
      <w:pPr>
        <w:rPr>
          <w:rFonts w:ascii="Comic Sans MS" w:hAnsi="Comic Sans MS"/>
          <w:b/>
          <w:sz w:val="20"/>
          <w:szCs w:val="20"/>
        </w:rPr>
      </w:pPr>
      <w:r w:rsidRPr="002F702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933A2" w:rsidRDefault="009933A2" w:rsidP="009933A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467 /2018</w:t>
                  </w:r>
                </w:p>
                <w:p w:rsidR="003350E5" w:rsidRPr="00F80788" w:rsidRDefault="009933A2" w:rsidP="003350E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3350E5">
                    <w:rPr>
                      <w:rStyle w:val="a3"/>
                    </w:rPr>
                    <w:t xml:space="preserve">ΑΔΑ: </w:t>
                  </w:r>
                  <w:r w:rsidR="003350E5">
                    <w:t>ΩΨΩΤΩΨΑ-ΚΘΘ</w:t>
                  </w:r>
                </w:p>
                <w:p w:rsidR="009933A2" w:rsidRDefault="009933A2" w:rsidP="009933A2"/>
              </w:txbxContent>
            </v:textbox>
          </v:shape>
        </w:pict>
      </w:r>
      <w:r w:rsidR="009933A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933A2" w:rsidRDefault="009933A2" w:rsidP="009933A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933A2" w:rsidRDefault="009933A2" w:rsidP="009933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933A2" w:rsidRDefault="009933A2" w:rsidP="009933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933A2" w:rsidRDefault="009933A2" w:rsidP="009933A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933A2" w:rsidRDefault="009933A2" w:rsidP="009933A2">
      <w:pPr>
        <w:jc w:val="center"/>
        <w:rPr>
          <w:rFonts w:ascii="Comic Sans MS" w:hAnsi="Comic Sans MS"/>
          <w:b/>
          <w:sz w:val="20"/>
          <w:szCs w:val="20"/>
        </w:rPr>
      </w:pPr>
    </w:p>
    <w:p w:rsidR="009933A2" w:rsidRDefault="009933A2" w:rsidP="009933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933A2" w:rsidRDefault="009933A2" w:rsidP="009933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9933A2" w:rsidRDefault="009933A2" w:rsidP="009933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933A2" w:rsidRDefault="009933A2" w:rsidP="009933A2">
      <w:pPr>
        <w:jc w:val="both"/>
        <w:rPr>
          <w:rFonts w:ascii="Comic Sans MS" w:hAnsi="Comic Sans MS"/>
          <w:b/>
          <w:sz w:val="20"/>
          <w:szCs w:val="20"/>
        </w:rPr>
      </w:pPr>
    </w:p>
    <w:p w:rsidR="009933A2" w:rsidRDefault="009933A2" w:rsidP="009933A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D7EB1" w:rsidRPr="00127324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2D7EB1" w:rsidRPr="00466530">
        <w:rPr>
          <w:rFonts w:ascii="Comic Sans MS" w:hAnsi="Comic Sans MS" w:cs="Arial"/>
          <w:b/>
          <w:sz w:val="20"/>
          <w:szCs w:val="20"/>
        </w:rPr>
        <w:t>2</w:t>
      </w:r>
      <w:r w:rsidR="002D7EB1" w:rsidRPr="00127324">
        <w:rPr>
          <w:rFonts w:ascii="Comic Sans MS" w:hAnsi="Comic Sans MS" w:cs="Arial"/>
          <w:b/>
          <w:sz w:val="20"/>
          <w:szCs w:val="20"/>
        </w:rPr>
        <w:t xml:space="preserve"> </w:t>
      </w:r>
      <w:r w:rsidR="002D7EB1">
        <w:rPr>
          <w:rFonts w:ascii="Comic Sans MS" w:hAnsi="Comic Sans MS" w:cs="Arial"/>
          <w:b/>
          <w:sz w:val="20"/>
          <w:szCs w:val="20"/>
        </w:rPr>
        <w:t xml:space="preserve">επιτροπής </w:t>
      </w:r>
      <w:r w:rsidR="002D7EB1" w:rsidRPr="00127324">
        <w:rPr>
          <w:rFonts w:ascii="Comic Sans MS" w:hAnsi="Comic Sans MS" w:cs="Arial"/>
          <w:b/>
          <w:sz w:val="20"/>
          <w:szCs w:val="20"/>
        </w:rPr>
        <w:t xml:space="preserve">διαγωνισμού για την υπηρεσία: Υπηρεσίες ετήσιων πολιτιστικών εκδηλώσεων Δήμου </w:t>
      </w:r>
      <w:proofErr w:type="spellStart"/>
      <w:r w:rsidR="002D7EB1" w:rsidRPr="0012732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D7EB1" w:rsidRPr="00127324">
        <w:rPr>
          <w:rFonts w:ascii="Comic Sans MS" w:hAnsi="Comic Sans MS"/>
          <w:sz w:val="20"/>
          <w:szCs w:val="20"/>
        </w:rPr>
        <w:t xml:space="preserve"> </w:t>
      </w:r>
      <w:r w:rsidR="002D7EB1" w:rsidRPr="00127324">
        <w:rPr>
          <w:rFonts w:ascii="Comic Sans MS" w:hAnsi="Comic Sans MS"/>
          <w:b/>
          <w:sz w:val="20"/>
          <w:szCs w:val="20"/>
        </w:rPr>
        <w:t>2018-2019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933A2" w:rsidRDefault="009933A2" w:rsidP="009933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933A2" w:rsidRDefault="009933A2" w:rsidP="009933A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17-09-2018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21590/13-09-2018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933A2" w:rsidRDefault="009933A2" w:rsidP="009933A2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933A2" w:rsidTr="009933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A2" w:rsidRDefault="009933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933A2" w:rsidRDefault="009933A2" w:rsidP="009933A2">
            <w:pPr>
              <w:numPr>
                <w:ilvl w:val="0"/>
                <w:numId w:val="10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933A2" w:rsidRDefault="009933A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   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Κων/νος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933A2" w:rsidRDefault="009933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3A2" w:rsidRDefault="009933A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933A2" w:rsidRDefault="009933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933A2" w:rsidRDefault="009933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933A2" w:rsidRDefault="009933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933A2" w:rsidRDefault="009933A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:rsidR="009933A2" w:rsidRDefault="009933A2" w:rsidP="009933A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</w:t>
      </w:r>
    </w:p>
    <w:p w:rsidR="009933A2" w:rsidRDefault="009933A2" w:rsidP="009933A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933A2" w:rsidRDefault="009933A2" w:rsidP="009933A2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9933A2" w:rsidRDefault="009933A2" w:rsidP="009933A2">
      <w:pPr>
        <w:jc w:val="both"/>
        <w:rPr>
          <w:rFonts w:ascii="Comic Sans MS" w:hAnsi="Comic Sans MS"/>
          <w:i/>
          <w:sz w:val="20"/>
          <w:szCs w:val="20"/>
        </w:rPr>
      </w:pPr>
    </w:p>
    <w:p w:rsidR="009933A2" w:rsidRDefault="009933A2" w:rsidP="009933A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9933A2" w:rsidRDefault="009933A2" w:rsidP="001273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933A2" w:rsidRDefault="009933A2" w:rsidP="001273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0788" w:rsidRDefault="00F80788" w:rsidP="00450DC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50DC4" w:rsidRPr="000D4EF2" w:rsidRDefault="00E3104E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2732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466530" w:rsidRPr="00466530">
        <w:rPr>
          <w:rFonts w:ascii="Comic Sans MS" w:hAnsi="Comic Sans MS"/>
          <w:sz w:val="20"/>
          <w:szCs w:val="20"/>
        </w:rPr>
        <w:t>2</w:t>
      </w:r>
      <w:r w:rsidRPr="00127324">
        <w:rPr>
          <w:rFonts w:ascii="Comic Sans MS" w:hAnsi="Comic Sans MS"/>
          <w:sz w:val="20"/>
          <w:szCs w:val="20"/>
          <w:vertAlign w:val="superscript"/>
        </w:rPr>
        <w:t>ο</w:t>
      </w:r>
      <w:r w:rsidRPr="00127324">
        <w:rPr>
          <w:rFonts w:ascii="Comic Sans MS" w:hAnsi="Comic Sans MS"/>
          <w:sz w:val="20"/>
          <w:szCs w:val="20"/>
        </w:rPr>
        <w:t xml:space="preserve"> τακτικό θέμα:</w:t>
      </w:r>
      <w:r w:rsidRPr="00127324">
        <w:rPr>
          <w:rFonts w:ascii="Comic Sans MS" w:hAnsi="Comic Sans MS" w:cs="Arial"/>
          <w:sz w:val="20"/>
          <w:szCs w:val="20"/>
        </w:rPr>
        <w:t xml:space="preserve">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466530" w:rsidRPr="00466530">
        <w:rPr>
          <w:rFonts w:ascii="Comic Sans MS" w:hAnsi="Comic Sans MS" w:cs="Arial"/>
          <w:b/>
          <w:sz w:val="20"/>
          <w:szCs w:val="20"/>
        </w:rPr>
        <w:t>2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 </w:t>
      </w:r>
      <w:r w:rsidR="00466530">
        <w:rPr>
          <w:rFonts w:ascii="Comic Sans MS" w:hAnsi="Comic Sans MS" w:cs="Arial"/>
          <w:b/>
          <w:sz w:val="20"/>
          <w:szCs w:val="20"/>
        </w:rPr>
        <w:t xml:space="preserve">επιτροπής </w:t>
      </w:r>
      <w:r w:rsidRPr="00127324">
        <w:rPr>
          <w:rFonts w:ascii="Comic Sans MS" w:hAnsi="Comic Sans MS" w:cs="Arial"/>
          <w:b/>
          <w:sz w:val="20"/>
          <w:szCs w:val="20"/>
        </w:rPr>
        <w:t xml:space="preserve">διαγωνισμού για την υπηρεσία: Υπηρεσίες ετήσιων πολιτιστικών εκδηλώσεων Δήμου </w:t>
      </w:r>
      <w:proofErr w:type="spellStart"/>
      <w:r w:rsidRPr="0012732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127324">
        <w:rPr>
          <w:rFonts w:ascii="Comic Sans MS" w:hAnsi="Comic Sans MS"/>
          <w:sz w:val="20"/>
          <w:szCs w:val="20"/>
        </w:rPr>
        <w:t xml:space="preserve"> </w:t>
      </w:r>
      <w:r w:rsidRPr="00127324">
        <w:rPr>
          <w:rFonts w:ascii="Comic Sans MS" w:hAnsi="Comic Sans MS"/>
          <w:b/>
          <w:sz w:val="20"/>
          <w:szCs w:val="20"/>
        </w:rPr>
        <w:t>2018-2019</w:t>
      </w:r>
      <w:r w:rsidRPr="00127324">
        <w:rPr>
          <w:rFonts w:ascii="Comic Sans MS" w:hAnsi="Comic Sans MS"/>
          <w:sz w:val="20"/>
          <w:szCs w:val="20"/>
        </w:rPr>
        <w:t xml:space="preserve">  </w:t>
      </w:r>
      <w:r w:rsidRPr="00127324">
        <w:rPr>
          <w:rFonts w:ascii="Comic Sans MS" w:hAnsi="Comic Sans MS" w:cs="Arial"/>
          <w:sz w:val="20"/>
          <w:szCs w:val="20"/>
        </w:rPr>
        <w:t>έθε</w:t>
      </w:r>
      <w:r w:rsidR="00466530">
        <w:rPr>
          <w:rFonts w:ascii="Comic Sans MS" w:hAnsi="Comic Sans MS" w:cs="Arial"/>
          <w:sz w:val="20"/>
          <w:szCs w:val="20"/>
        </w:rPr>
        <w:t>σε υπόψη της επιτροπής το από 10-09</w:t>
      </w:r>
      <w:r w:rsidRPr="00127324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το οποίο έχει ως εξής: </w:t>
      </w:r>
      <w:r w:rsidR="00D1422F">
        <w:rPr>
          <w:rFonts w:ascii="Calibri" w:hAnsi="Calibri" w:cs="Calibri"/>
          <w:sz w:val="22"/>
          <w:szCs w:val="22"/>
        </w:rPr>
        <w:t xml:space="preserve"> </w:t>
      </w:r>
      <w:r w:rsidR="00450DC4" w:rsidRPr="00663AE9">
        <w:rPr>
          <w:rFonts w:ascii="Calibri" w:hAnsi="Calibri" w:cs="Calibri"/>
          <w:sz w:val="22"/>
          <w:szCs w:val="22"/>
        </w:rPr>
        <w:t xml:space="preserve">Στην Άρτα, την </w:t>
      </w:r>
      <w:r w:rsidR="00450DC4" w:rsidRPr="00A25176">
        <w:rPr>
          <w:rFonts w:ascii="Calibri" w:hAnsi="Calibri" w:cs="Calibri"/>
          <w:sz w:val="22"/>
          <w:szCs w:val="22"/>
        </w:rPr>
        <w:t>1</w:t>
      </w:r>
      <w:r w:rsidR="00450DC4" w:rsidRPr="000C6212">
        <w:rPr>
          <w:rFonts w:ascii="Calibri" w:hAnsi="Calibri" w:cs="Calibri"/>
          <w:sz w:val="22"/>
          <w:szCs w:val="22"/>
        </w:rPr>
        <w:t>0</w:t>
      </w:r>
      <w:r w:rsidR="00450DC4" w:rsidRPr="00663AE9">
        <w:rPr>
          <w:rFonts w:ascii="Calibri" w:hAnsi="Calibri" w:cs="Calibri"/>
          <w:sz w:val="22"/>
          <w:szCs w:val="22"/>
          <w:vertAlign w:val="superscript"/>
        </w:rPr>
        <w:t>η</w:t>
      </w:r>
      <w:r w:rsidR="00450DC4" w:rsidRPr="00663AE9">
        <w:rPr>
          <w:rFonts w:ascii="Calibri" w:hAnsi="Calibri" w:cs="Calibri"/>
          <w:sz w:val="22"/>
          <w:szCs w:val="22"/>
        </w:rPr>
        <w:t xml:space="preserve"> </w:t>
      </w:r>
      <w:r w:rsidR="00450DC4">
        <w:rPr>
          <w:rFonts w:ascii="Calibri" w:hAnsi="Calibri" w:cs="Calibri"/>
          <w:sz w:val="22"/>
          <w:szCs w:val="22"/>
        </w:rPr>
        <w:t xml:space="preserve">Σεπτεμβρίου </w:t>
      </w:r>
      <w:r w:rsidR="00450DC4" w:rsidRPr="00663AE9">
        <w:rPr>
          <w:rFonts w:ascii="Calibri" w:hAnsi="Calibri" w:cs="Calibri"/>
          <w:sz w:val="22"/>
          <w:szCs w:val="22"/>
        </w:rPr>
        <w:t>201</w:t>
      </w:r>
      <w:r w:rsidR="00450DC4">
        <w:rPr>
          <w:rFonts w:ascii="Calibri" w:hAnsi="Calibri" w:cs="Calibri"/>
          <w:sz w:val="22"/>
          <w:szCs w:val="22"/>
        </w:rPr>
        <w:t>8</w:t>
      </w:r>
      <w:r w:rsidR="00450DC4" w:rsidRPr="00663AE9">
        <w:rPr>
          <w:rFonts w:ascii="Calibri" w:hAnsi="Calibri" w:cs="Calibri"/>
          <w:sz w:val="22"/>
          <w:szCs w:val="22"/>
        </w:rPr>
        <w:t xml:space="preserve">, ημέρα </w:t>
      </w:r>
      <w:r w:rsidR="00450DC4">
        <w:rPr>
          <w:rFonts w:ascii="Calibri" w:hAnsi="Calibri" w:cs="Calibri"/>
          <w:sz w:val="22"/>
          <w:szCs w:val="22"/>
        </w:rPr>
        <w:t>Δευτέρα</w:t>
      </w:r>
      <w:r w:rsidR="00450DC4" w:rsidRPr="00663AE9">
        <w:rPr>
          <w:rFonts w:ascii="Calibri" w:hAnsi="Calibri" w:cs="Calibri"/>
          <w:sz w:val="22"/>
          <w:szCs w:val="22"/>
        </w:rPr>
        <w:t xml:space="preserve"> και ώρα </w:t>
      </w:r>
      <w:r w:rsidR="00450DC4">
        <w:rPr>
          <w:rFonts w:ascii="Calibri" w:hAnsi="Calibri" w:cs="Calibri"/>
          <w:sz w:val="22"/>
          <w:szCs w:val="22"/>
        </w:rPr>
        <w:t>10</w:t>
      </w:r>
      <w:r w:rsidR="00450DC4" w:rsidRPr="00663AE9">
        <w:rPr>
          <w:rFonts w:ascii="Calibri" w:hAnsi="Calibri" w:cs="Calibri"/>
          <w:sz w:val="22"/>
          <w:szCs w:val="22"/>
        </w:rPr>
        <w:t xml:space="preserve">.00 </w:t>
      </w:r>
      <w:proofErr w:type="spellStart"/>
      <w:r w:rsidR="00450DC4" w:rsidRPr="00663AE9">
        <w:rPr>
          <w:rFonts w:ascii="Calibri" w:hAnsi="Calibri" w:cs="Calibri"/>
          <w:sz w:val="22"/>
          <w:szCs w:val="22"/>
        </w:rPr>
        <w:t>π.μ</w:t>
      </w:r>
      <w:proofErr w:type="spellEnd"/>
      <w:r w:rsidR="00450DC4" w:rsidRPr="00663AE9">
        <w:rPr>
          <w:rFonts w:ascii="Calibri" w:hAnsi="Calibri" w:cs="Calibri"/>
          <w:sz w:val="22"/>
          <w:szCs w:val="22"/>
        </w:rPr>
        <w:t>. συνήλθε σε τακτική συνεδρίαση στο Δημοτικό Κατάστημα</w:t>
      </w:r>
      <w:r w:rsidR="00450DC4" w:rsidRPr="00663AE9">
        <w:rPr>
          <w:rFonts w:ascii="Calibri" w:hAnsi="Calibri" w:cs="Calibri"/>
          <w:b/>
          <w:sz w:val="22"/>
          <w:szCs w:val="22"/>
        </w:rPr>
        <w:t xml:space="preserve">, </w:t>
      </w:r>
      <w:r w:rsidR="00450DC4" w:rsidRPr="00663AE9">
        <w:rPr>
          <w:rFonts w:ascii="Calibri" w:hAnsi="Calibri" w:cs="Calibri"/>
          <w:sz w:val="22"/>
          <w:szCs w:val="22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450DC4" w:rsidRPr="00663AE9">
        <w:rPr>
          <w:rFonts w:ascii="Calibri" w:hAnsi="Calibri" w:cs="Calibri"/>
          <w:sz w:val="22"/>
          <w:szCs w:val="22"/>
        </w:rPr>
        <w:t>υποφακέλους</w:t>
      </w:r>
      <w:proofErr w:type="spellEnd"/>
      <w:r w:rsidR="00450DC4" w:rsidRPr="00663AE9">
        <w:rPr>
          <w:rFonts w:ascii="Calibri" w:hAnsi="Calibri" w:cs="Calibri"/>
          <w:sz w:val="22"/>
          <w:szCs w:val="22"/>
        </w:rPr>
        <w:t xml:space="preserve"> «</w:t>
      </w:r>
      <w:r w:rsidR="00450DC4">
        <w:rPr>
          <w:rFonts w:ascii="Calibri" w:hAnsi="Calibri" w:cs="Calibri"/>
          <w:sz w:val="22"/>
          <w:szCs w:val="22"/>
        </w:rPr>
        <w:t xml:space="preserve">Οικονομική </w:t>
      </w:r>
      <w:r w:rsidR="00450DC4" w:rsidRPr="00663AE9">
        <w:rPr>
          <w:rFonts w:ascii="Calibri" w:hAnsi="Calibri" w:cs="Calibri"/>
          <w:sz w:val="22"/>
          <w:szCs w:val="22"/>
        </w:rPr>
        <w:t xml:space="preserve">Προσφορά» που υποβλήθηκαν όπως ορίζεται στην </w:t>
      </w:r>
      <w:proofErr w:type="spellStart"/>
      <w:r w:rsidR="00450DC4" w:rsidRPr="00663AE9">
        <w:rPr>
          <w:rFonts w:ascii="Calibri" w:hAnsi="Calibri" w:cs="Calibri"/>
          <w:sz w:val="22"/>
          <w:szCs w:val="22"/>
        </w:rPr>
        <w:t>αριθμ</w:t>
      </w:r>
      <w:proofErr w:type="spellEnd"/>
      <w:r w:rsidR="00450DC4" w:rsidRPr="00663AE9">
        <w:rPr>
          <w:rFonts w:ascii="Calibri" w:hAnsi="Calibri" w:cs="Calibri"/>
          <w:sz w:val="22"/>
          <w:szCs w:val="22"/>
        </w:rPr>
        <w:t xml:space="preserve">. </w:t>
      </w:r>
      <w:r w:rsidR="00450DC4">
        <w:rPr>
          <w:rFonts w:ascii="Calibri" w:hAnsi="Calibri" w:cs="Calibri"/>
          <w:sz w:val="22"/>
          <w:szCs w:val="22"/>
        </w:rPr>
        <w:t>16852</w:t>
      </w:r>
      <w:r w:rsidR="00450DC4" w:rsidRPr="00663AE9">
        <w:rPr>
          <w:rFonts w:ascii="Calibri" w:hAnsi="Calibri" w:cs="Calibri"/>
          <w:sz w:val="22"/>
          <w:szCs w:val="22"/>
        </w:rPr>
        <w:t>/</w:t>
      </w:r>
      <w:r w:rsidR="00450DC4">
        <w:rPr>
          <w:rFonts w:ascii="Calibri" w:hAnsi="Calibri" w:cs="Calibri"/>
          <w:sz w:val="22"/>
          <w:szCs w:val="22"/>
        </w:rPr>
        <w:t>1</w:t>
      </w:r>
      <w:r w:rsidR="00450DC4" w:rsidRPr="00663AE9">
        <w:rPr>
          <w:rFonts w:ascii="Calibri" w:hAnsi="Calibri" w:cs="Calibri"/>
          <w:sz w:val="22"/>
          <w:szCs w:val="22"/>
        </w:rPr>
        <w:t>2-0</w:t>
      </w:r>
      <w:r w:rsidR="00450DC4">
        <w:rPr>
          <w:rFonts w:ascii="Calibri" w:hAnsi="Calibri" w:cs="Calibri"/>
          <w:sz w:val="22"/>
          <w:szCs w:val="22"/>
        </w:rPr>
        <w:t>7</w:t>
      </w:r>
      <w:r w:rsidR="00450DC4" w:rsidRPr="00663AE9">
        <w:rPr>
          <w:rFonts w:ascii="Calibri" w:hAnsi="Calibri" w:cs="Calibri"/>
          <w:sz w:val="22"/>
          <w:szCs w:val="22"/>
        </w:rPr>
        <w:t xml:space="preserve">-2018 διακήρυξη του Δημάρχου </w:t>
      </w:r>
      <w:proofErr w:type="spellStart"/>
      <w:r w:rsidR="00450DC4" w:rsidRPr="00663AE9">
        <w:rPr>
          <w:rFonts w:ascii="Calibri" w:hAnsi="Calibri" w:cs="Calibri"/>
          <w:sz w:val="22"/>
          <w:szCs w:val="22"/>
        </w:rPr>
        <w:t>Αρταίων</w:t>
      </w:r>
      <w:proofErr w:type="spellEnd"/>
      <w:r w:rsidR="00450DC4" w:rsidRPr="00663AE9">
        <w:rPr>
          <w:rFonts w:ascii="Calibri" w:hAnsi="Calibri" w:cs="Calibri"/>
          <w:sz w:val="22"/>
          <w:szCs w:val="22"/>
        </w:rPr>
        <w:t xml:space="preserve"> για τον ανοικτό ηλεκτρονικό διαγωνισμό που αφορά </w:t>
      </w:r>
      <w:r w:rsidR="00450DC4">
        <w:rPr>
          <w:rFonts w:ascii="Calibri" w:hAnsi="Calibri" w:cs="Calibri"/>
          <w:sz w:val="22"/>
          <w:szCs w:val="22"/>
        </w:rPr>
        <w:t>σ</w:t>
      </w:r>
      <w:r w:rsidR="00450DC4" w:rsidRPr="00663AE9">
        <w:rPr>
          <w:rFonts w:ascii="Calibri" w:hAnsi="Calibri" w:cs="Calibri"/>
          <w:sz w:val="22"/>
          <w:szCs w:val="22"/>
        </w:rPr>
        <w:t>τ</w:t>
      </w:r>
      <w:r w:rsidR="00450DC4">
        <w:rPr>
          <w:rFonts w:ascii="Calibri" w:hAnsi="Calibri" w:cs="Calibri"/>
          <w:sz w:val="22"/>
          <w:szCs w:val="22"/>
        </w:rPr>
        <w:t>ις</w:t>
      </w:r>
      <w:r w:rsidR="00450DC4" w:rsidRPr="00663AE9">
        <w:rPr>
          <w:rFonts w:ascii="Calibri" w:hAnsi="Calibri" w:cs="Calibri"/>
          <w:sz w:val="22"/>
          <w:szCs w:val="22"/>
        </w:rPr>
        <w:t xml:space="preserve"> «</w:t>
      </w:r>
      <w:r w:rsidR="00450DC4">
        <w:rPr>
          <w:rFonts w:ascii="Calibri" w:hAnsi="Calibri" w:cs="Calibri"/>
          <w:sz w:val="22"/>
          <w:szCs w:val="22"/>
        </w:rPr>
        <w:t xml:space="preserve">Υπηρεσίες Ετήσιων Πολιτιστικών Εκδηλώσεων Δήμου </w:t>
      </w:r>
      <w:proofErr w:type="spellStart"/>
      <w:r w:rsidR="00450DC4">
        <w:rPr>
          <w:rFonts w:ascii="Calibri" w:hAnsi="Calibri" w:cs="Calibri"/>
          <w:sz w:val="22"/>
          <w:szCs w:val="22"/>
        </w:rPr>
        <w:t>Αρταίων</w:t>
      </w:r>
      <w:proofErr w:type="spellEnd"/>
      <w:r w:rsidR="00450DC4">
        <w:rPr>
          <w:rFonts w:ascii="Calibri" w:hAnsi="Calibri" w:cs="Calibri"/>
          <w:sz w:val="22"/>
          <w:szCs w:val="22"/>
        </w:rPr>
        <w:t xml:space="preserve"> 2018 – 2019»</w:t>
      </w:r>
      <w:r w:rsidR="00450DC4" w:rsidRPr="00663AE9">
        <w:rPr>
          <w:rFonts w:ascii="Calibri" w:hAnsi="Calibri" w:cs="Calibri"/>
          <w:sz w:val="22"/>
          <w:szCs w:val="22"/>
        </w:rPr>
        <w:t xml:space="preserve">. </w:t>
      </w:r>
    </w:p>
    <w:p w:rsidR="00450DC4" w:rsidRPr="000D4EF2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>Στη συνεδρίαση της επιτροπής ήταν παρόντες:</w:t>
      </w:r>
    </w:p>
    <w:p w:rsidR="00450DC4" w:rsidRPr="000D4EF2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1) </w:t>
      </w:r>
      <w:proofErr w:type="spellStart"/>
      <w:r w:rsidRPr="000D4EF2">
        <w:rPr>
          <w:rFonts w:ascii="Calibri" w:hAnsi="Calibri" w:cs="Calibri"/>
          <w:sz w:val="22"/>
          <w:szCs w:val="22"/>
        </w:rPr>
        <w:t>Αρκουμάνης</w:t>
      </w:r>
      <w:proofErr w:type="spellEnd"/>
      <w:r w:rsidRPr="000D4EF2">
        <w:rPr>
          <w:rFonts w:ascii="Calibri" w:hAnsi="Calibri" w:cs="Calibri"/>
          <w:sz w:val="22"/>
          <w:szCs w:val="22"/>
        </w:rPr>
        <w:t xml:space="preserve"> Θανάσης, Πρόεδρος</w:t>
      </w:r>
    </w:p>
    <w:p w:rsidR="00450DC4" w:rsidRPr="004D4D17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2) </w:t>
      </w:r>
      <w:proofErr w:type="spellStart"/>
      <w:r>
        <w:rPr>
          <w:rFonts w:ascii="Calibri" w:hAnsi="Calibri" w:cs="Calibri"/>
          <w:sz w:val="22"/>
          <w:szCs w:val="22"/>
        </w:rPr>
        <w:t>Κομηλάγιου</w:t>
      </w:r>
      <w:proofErr w:type="spellEnd"/>
      <w:r>
        <w:rPr>
          <w:rFonts w:ascii="Calibri" w:hAnsi="Calibri" w:cs="Calibri"/>
          <w:sz w:val="22"/>
          <w:szCs w:val="22"/>
        </w:rPr>
        <w:t xml:space="preserve"> Δήμητρα, μέλος</w:t>
      </w:r>
    </w:p>
    <w:p w:rsidR="00450DC4" w:rsidRPr="000D4EF2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3) </w:t>
      </w:r>
      <w:proofErr w:type="spellStart"/>
      <w:r w:rsidRPr="000D4EF2">
        <w:rPr>
          <w:rFonts w:ascii="Calibri" w:hAnsi="Calibri" w:cs="Calibri"/>
          <w:sz w:val="22"/>
          <w:szCs w:val="22"/>
        </w:rPr>
        <w:t>Τυρολόγου</w:t>
      </w:r>
      <w:proofErr w:type="spellEnd"/>
      <w:r w:rsidRPr="000D4EF2">
        <w:rPr>
          <w:rFonts w:ascii="Calibri" w:hAnsi="Calibri" w:cs="Calibri"/>
          <w:sz w:val="22"/>
          <w:szCs w:val="22"/>
        </w:rPr>
        <w:t xml:space="preserve"> Αλεξάνδρα, Μέλος</w:t>
      </w:r>
    </w:p>
    <w:p w:rsidR="00450DC4" w:rsidRPr="000D4EF2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Η επιτροπή μετά το άνοιγμα των φακέλων οικονομικής προσφοράς των </w:t>
      </w:r>
      <w:r>
        <w:rPr>
          <w:rFonts w:ascii="Calibri" w:hAnsi="Calibri" w:cs="Calibri"/>
          <w:sz w:val="22"/>
          <w:szCs w:val="22"/>
        </w:rPr>
        <w:t>πέντε</w:t>
      </w:r>
      <w:r w:rsidRPr="000D4EF2">
        <w:rPr>
          <w:rFonts w:ascii="Calibri" w:hAnsi="Calibri" w:cs="Calibri"/>
          <w:sz w:val="22"/>
          <w:szCs w:val="22"/>
        </w:rPr>
        <w:t xml:space="preserve"> υποψηφίων, οι οποίοι πληρούν τις προϋποθέσεις για τη συμμετοχή τους σ’ αυτό το στάδιο διαδικασίας ανάδειξης προσωρινού  αναδόχου, έλαβε τις εξής οικονομικές προσφορές βάσει τιμής συνολικού προϋπολογισμού</w:t>
      </w:r>
      <w:r>
        <w:rPr>
          <w:rFonts w:ascii="Calibri" w:hAnsi="Calibri" w:cs="Calibri"/>
          <w:sz w:val="22"/>
          <w:szCs w:val="22"/>
        </w:rPr>
        <w:t>, όπως αυτές απεικονίζονται στον ακόλουθο πίνακα</w:t>
      </w:r>
      <w:r w:rsidRPr="000D4EF2">
        <w:rPr>
          <w:rFonts w:ascii="Calibri" w:hAnsi="Calibri" w:cs="Calibri"/>
          <w:sz w:val="22"/>
          <w:szCs w:val="22"/>
        </w:rPr>
        <w:t xml:space="preserve">: </w:t>
      </w:r>
    </w:p>
    <w:tbl>
      <w:tblPr>
        <w:tblW w:w="8660" w:type="dxa"/>
        <w:jc w:val="center"/>
        <w:tblLook w:val="04A0"/>
      </w:tblPr>
      <w:tblGrid>
        <w:gridCol w:w="1107"/>
        <w:gridCol w:w="1540"/>
        <w:gridCol w:w="1540"/>
        <w:gridCol w:w="1540"/>
        <w:gridCol w:w="1540"/>
        <w:gridCol w:w="1540"/>
      </w:tblGrid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ΕΝΟΤΗΤΑ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ΚΑΡΑΤΖΙΑΣ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ΚΑΤΑΚΟΡΥΦΟ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NEXT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CLOUDPRINT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ΠΡΙΝΤΕΞ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24.998,40 €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30.876,00 €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4.867,00 €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4.836,00 €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4.228,40 €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4.836,00 €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4.588,00 €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11.036,00 €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11.904,00 €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1.909,60 €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1.189,16 €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450DC4" w:rsidRPr="007160AD" w:rsidTr="000A21A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160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DC4" w:rsidRPr="007160AD" w:rsidRDefault="00450DC4" w:rsidP="000A21A3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160A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:rsidR="00450DC4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Επιπλέον, μετά την εξέταση των προσφορών, η Επιτροπή συμπέρανε ότι για τις ενότητες:</w:t>
      </w:r>
    </w:p>
    <w:p w:rsidR="00450DC4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76D70">
        <w:rPr>
          <w:rFonts w:ascii="Calibri" w:hAnsi="Calibri" w:cs="Calibri"/>
          <w:sz w:val="22"/>
          <w:szCs w:val="22"/>
        </w:rPr>
        <w:t xml:space="preserve">2: </w:t>
      </w:r>
      <w:r>
        <w:rPr>
          <w:rFonts w:ascii="Calibri" w:hAnsi="Calibri" w:cs="Calibri"/>
          <w:sz w:val="22"/>
          <w:szCs w:val="22"/>
        </w:rPr>
        <w:t xml:space="preserve">Ενοικίαση </w:t>
      </w:r>
      <w:proofErr w:type="spellStart"/>
      <w:r>
        <w:rPr>
          <w:rFonts w:ascii="Calibri" w:hAnsi="Calibri" w:cs="Calibri"/>
          <w:sz w:val="22"/>
          <w:szCs w:val="22"/>
        </w:rPr>
        <w:t>τραπεζοκαθισμάτων</w:t>
      </w:r>
      <w:proofErr w:type="spellEnd"/>
      <w:r>
        <w:rPr>
          <w:rFonts w:ascii="Calibri" w:hAnsi="Calibri" w:cs="Calibri"/>
          <w:sz w:val="22"/>
          <w:szCs w:val="22"/>
        </w:rPr>
        <w:t xml:space="preserve"> και στεγάστρων</w:t>
      </w:r>
    </w:p>
    <w:p w:rsidR="00450DC4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7: υπηρεσίες οργάνωσης αθλητικών εκδηλώσεων</w:t>
      </w:r>
    </w:p>
    <w:p w:rsidR="00450DC4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8: στολισμός </w:t>
      </w:r>
    </w:p>
    <w:p w:rsidR="00450DC4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9: ενοικίαση τρένου</w:t>
      </w:r>
    </w:p>
    <w:p w:rsidR="00450DC4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12: φαγητά – ποτά – ποτήρια και </w:t>
      </w:r>
      <w:proofErr w:type="spellStart"/>
      <w:r>
        <w:rPr>
          <w:rFonts w:ascii="Calibri" w:hAnsi="Calibri" w:cs="Calibri"/>
          <w:sz w:val="22"/>
          <w:szCs w:val="22"/>
        </w:rPr>
        <w:t>λοιπα</w:t>
      </w:r>
      <w:proofErr w:type="spellEnd"/>
      <w:r>
        <w:rPr>
          <w:rFonts w:ascii="Calibri" w:hAnsi="Calibri" w:cs="Calibri"/>
          <w:sz w:val="22"/>
          <w:szCs w:val="22"/>
        </w:rPr>
        <w:t xml:space="preserve"> υλικά για την Καθαρά Δευτέρα</w:t>
      </w:r>
    </w:p>
    <w:p w:rsidR="00450DC4" w:rsidRPr="00D76D70" w:rsidRDefault="00450DC4" w:rsidP="00450DC4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13: βραβεία - έπαθλα</w:t>
      </w:r>
    </w:p>
    <w:p w:rsidR="00450DC4" w:rsidRPr="00F65980" w:rsidRDefault="00450DC4" w:rsidP="00450DC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65980">
        <w:rPr>
          <w:rFonts w:ascii="Calibri" w:hAnsi="Calibri" w:cs="Calibri"/>
          <w:sz w:val="22"/>
          <w:szCs w:val="22"/>
          <w:u w:val="single"/>
        </w:rPr>
        <w:t xml:space="preserve">δεν κατατέθηκε προσφορά από κανέναν διαγωνιζόμενο, </w:t>
      </w:r>
      <w:r w:rsidRPr="00D76D70">
        <w:rPr>
          <w:rFonts w:ascii="Calibri" w:hAnsi="Calibri" w:cs="Calibri"/>
          <w:sz w:val="22"/>
          <w:szCs w:val="22"/>
        </w:rPr>
        <w:t>παρόλο που για την Ενότητα 9</w:t>
      </w:r>
      <w:r>
        <w:rPr>
          <w:rFonts w:ascii="Calibri" w:hAnsi="Calibri" w:cs="Calibri"/>
          <w:sz w:val="22"/>
          <w:szCs w:val="22"/>
        </w:rPr>
        <w:t xml:space="preserve"> είχε </w:t>
      </w:r>
      <w:r w:rsidRPr="00D76D70">
        <w:rPr>
          <w:rFonts w:ascii="Calibri" w:hAnsi="Calibri" w:cs="Calibri"/>
          <w:sz w:val="22"/>
          <w:szCs w:val="22"/>
        </w:rPr>
        <w:t xml:space="preserve">προσκομιστεί από την εταιρεία </w:t>
      </w:r>
      <w:r w:rsidRPr="00D76D70">
        <w:rPr>
          <w:rFonts w:ascii="Calibri" w:hAnsi="Calibri" w:cs="Calibri"/>
          <w:b/>
          <w:sz w:val="22"/>
          <w:szCs w:val="22"/>
        </w:rPr>
        <w:t>ΚΑΤΑΚΟΡΥΦΟ</w:t>
      </w:r>
      <w:r w:rsidRPr="000C6212">
        <w:rPr>
          <w:rFonts w:ascii="Calibri" w:hAnsi="Calibri" w:cs="Calibri"/>
          <w:b/>
          <w:sz w:val="22"/>
          <w:szCs w:val="22"/>
        </w:rPr>
        <w:t xml:space="preserve"> </w:t>
      </w:r>
      <w:r w:rsidRPr="00D76D70">
        <w:rPr>
          <w:rFonts w:ascii="Calibri" w:hAnsi="Calibri" w:cs="Calibri"/>
          <w:sz w:val="22"/>
          <w:szCs w:val="22"/>
        </w:rPr>
        <w:t>εγγυητική επιστολή</w:t>
      </w:r>
      <w:r>
        <w:rPr>
          <w:rFonts w:ascii="Calibri" w:hAnsi="Calibri" w:cs="Calibri"/>
          <w:sz w:val="22"/>
          <w:szCs w:val="22"/>
        </w:rPr>
        <w:t xml:space="preserve">. Κατά συνέπεια, η Επιτροπή </w:t>
      </w:r>
      <w:r w:rsidRPr="000D4EF2">
        <w:rPr>
          <w:rFonts w:ascii="Calibri" w:hAnsi="Calibri" w:cs="Calibri"/>
          <w:sz w:val="22"/>
          <w:szCs w:val="22"/>
        </w:rPr>
        <w:t xml:space="preserve">αφού έλαβε υπόψη το άρθρο </w:t>
      </w:r>
      <w:r w:rsidRPr="007160AD">
        <w:rPr>
          <w:rFonts w:ascii="Calibri" w:hAnsi="Calibri" w:cs="Calibri"/>
          <w:b/>
          <w:sz w:val="22"/>
          <w:szCs w:val="22"/>
          <w:u w:val="single"/>
        </w:rPr>
        <w:t xml:space="preserve">2.4.4  της </w:t>
      </w:r>
      <w:proofErr w:type="spellStart"/>
      <w:r w:rsidRPr="007160AD">
        <w:rPr>
          <w:rFonts w:ascii="Calibri" w:hAnsi="Calibri" w:cs="Calibri"/>
          <w:b/>
          <w:sz w:val="22"/>
          <w:szCs w:val="22"/>
          <w:u w:val="single"/>
        </w:rPr>
        <w:t>αριθμ</w:t>
      </w:r>
      <w:proofErr w:type="spellEnd"/>
      <w:r w:rsidRPr="007160AD">
        <w:rPr>
          <w:rFonts w:ascii="Calibri" w:hAnsi="Calibri" w:cs="Calibri"/>
          <w:b/>
          <w:sz w:val="22"/>
          <w:szCs w:val="22"/>
          <w:u w:val="single"/>
        </w:rPr>
        <w:t xml:space="preserve">. </w:t>
      </w:r>
      <w:r w:rsidRPr="00C229C6">
        <w:rPr>
          <w:rFonts w:ascii="Calibri" w:hAnsi="Calibri" w:cs="Calibri"/>
          <w:b/>
          <w:sz w:val="22"/>
          <w:szCs w:val="22"/>
          <w:u w:val="single"/>
        </w:rPr>
        <w:t>16852/12-07-2018</w:t>
      </w:r>
      <w:r w:rsidRPr="00663AE9">
        <w:rPr>
          <w:rFonts w:ascii="Calibri" w:hAnsi="Calibri" w:cs="Calibri"/>
          <w:sz w:val="22"/>
          <w:szCs w:val="22"/>
        </w:rPr>
        <w:t xml:space="preserve"> </w:t>
      </w:r>
      <w:r w:rsidRPr="007160AD">
        <w:rPr>
          <w:rFonts w:ascii="Calibri" w:hAnsi="Calibri" w:cs="Calibri"/>
          <w:b/>
          <w:sz w:val="22"/>
          <w:szCs w:val="22"/>
          <w:u w:val="single"/>
        </w:rPr>
        <w:t xml:space="preserve">διακήρυξης Δημάρχου </w:t>
      </w:r>
      <w:proofErr w:type="spellStart"/>
      <w:r w:rsidRPr="007160AD">
        <w:rPr>
          <w:rFonts w:ascii="Calibri" w:hAnsi="Calibri" w:cs="Calibri"/>
          <w:b/>
          <w:sz w:val="22"/>
          <w:szCs w:val="22"/>
          <w:u w:val="single"/>
        </w:rPr>
        <w:t>Αρταίων</w:t>
      </w:r>
      <w:proofErr w:type="spellEnd"/>
      <w:r w:rsidRPr="007160AD">
        <w:rPr>
          <w:rFonts w:ascii="Calibri" w:hAnsi="Calibri" w:cs="Calibri"/>
          <w:b/>
          <w:sz w:val="22"/>
          <w:szCs w:val="22"/>
          <w:u w:val="single"/>
        </w:rPr>
        <w:t xml:space="preserve">, </w:t>
      </w:r>
    </w:p>
    <w:p w:rsidR="00450DC4" w:rsidRDefault="00450DC4" w:rsidP="00450DC4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D4EF2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450DC4" w:rsidRPr="00C229C6" w:rsidRDefault="00450DC4" w:rsidP="00450DC4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proofErr w:type="spellStart"/>
      <w:r>
        <w:rPr>
          <w:rFonts w:ascii="Calibri" w:hAnsi="Calibri" w:cs="Calibri"/>
          <w:bCs/>
          <w:sz w:val="22"/>
          <w:szCs w:val="22"/>
        </w:rPr>
        <w:t>ενοτήτας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1 (</w:t>
      </w:r>
      <w:proofErr w:type="spellStart"/>
      <w:r>
        <w:rPr>
          <w:rFonts w:ascii="Calibri" w:hAnsi="Calibri" w:cs="Calibri"/>
          <w:bCs/>
          <w:sz w:val="22"/>
          <w:szCs w:val="22"/>
        </w:rPr>
        <w:t>ηχοφωτιστική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κάλυψη εκδηλώσεων) στον προσωρινό ανάδοχο </w:t>
      </w:r>
      <w:r>
        <w:rPr>
          <w:rFonts w:ascii="Calibri" w:hAnsi="Calibri" w:cs="Calibri"/>
          <w:b/>
          <w:bCs/>
          <w:sz w:val="22"/>
          <w:szCs w:val="22"/>
        </w:rPr>
        <w:t>ΚΑΡΑΤΖΙΑ ΓΕΩΡΓΙΟ</w:t>
      </w:r>
      <w:r w:rsidRPr="00C229C6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 xml:space="preserve">ι </w:t>
      </w:r>
      <w:r w:rsidRPr="00C229C6">
        <w:rPr>
          <w:rFonts w:ascii="Calibri" w:hAnsi="Calibri" w:cs="Calibri"/>
          <w:bCs/>
          <w:sz w:val="22"/>
          <w:szCs w:val="22"/>
        </w:rPr>
        <w:t>24.998,40 €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</w:p>
    <w:p w:rsidR="00450DC4" w:rsidRPr="00F65980" w:rsidRDefault="00450DC4" w:rsidP="00450DC4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proofErr w:type="spellStart"/>
      <w:r>
        <w:rPr>
          <w:rFonts w:ascii="Calibri" w:hAnsi="Calibri" w:cs="Calibri"/>
          <w:bCs/>
          <w:sz w:val="22"/>
          <w:szCs w:val="22"/>
        </w:rPr>
        <w:t>ενοτήτας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3 (έντυπο υλικό και συναφή </w:t>
      </w:r>
      <w:proofErr w:type="spellStart"/>
      <w:r>
        <w:rPr>
          <w:rFonts w:ascii="Calibri" w:hAnsi="Calibri" w:cs="Calibri"/>
          <w:bCs/>
          <w:sz w:val="22"/>
          <w:szCs w:val="22"/>
        </w:rPr>
        <w:t>προϊοντα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) στον προσωρινό ανάδοχο </w:t>
      </w:r>
      <w:r w:rsidRPr="00C229C6">
        <w:rPr>
          <w:rFonts w:ascii="Calibri" w:hAnsi="Calibri" w:cs="Calibri"/>
          <w:b/>
          <w:bCs/>
          <w:sz w:val="22"/>
          <w:szCs w:val="22"/>
        </w:rPr>
        <w:t>ΠΡΙΝΤΕΞ ΨΗΦΙΑΚΗ ΤΕΧΝΟΛΟΓΙΑ ΕΤΑΙΡΕΙΑ ΠΕΡΙΟΡΙΣΜΕΝΗΣ ΕΥΘΥΝΗΣ</w:t>
      </w:r>
      <w:r w:rsidRPr="00C229C6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 xml:space="preserve">ι </w:t>
      </w:r>
      <w:r w:rsidRPr="00C229C6">
        <w:rPr>
          <w:rFonts w:ascii="Calibri" w:hAnsi="Calibri" w:cs="Calibri"/>
          <w:bCs/>
          <w:sz w:val="22"/>
          <w:szCs w:val="22"/>
        </w:rPr>
        <w:t>4.228,40€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</w:p>
    <w:p w:rsidR="00450DC4" w:rsidRPr="00D96D65" w:rsidRDefault="00450DC4" w:rsidP="00450DC4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των ενοτήτων </w:t>
      </w:r>
      <w:r w:rsidRPr="000C6212">
        <w:rPr>
          <w:rFonts w:ascii="Calibri" w:hAnsi="Calibri" w:cs="Calibri"/>
          <w:bCs/>
          <w:sz w:val="22"/>
          <w:szCs w:val="22"/>
        </w:rPr>
        <w:t xml:space="preserve">4, 5, 6, 10 </w:t>
      </w:r>
      <w:r>
        <w:rPr>
          <w:rFonts w:ascii="Calibri" w:hAnsi="Calibri" w:cs="Calibri"/>
          <w:bCs/>
          <w:sz w:val="22"/>
          <w:szCs w:val="22"/>
        </w:rPr>
        <w:t xml:space="preserve">και 11 </w:t>
      </w:r>
      <w:r w:rsidRPr="000D4EF2">
        <w:rPr>
          <w:rFonts w:ascii="Calibri" w:hAnsi="Calibri" w:cs="Calibri"/>
          <w:bCs/>
          <w:sz w:val="22"/>
          <w:szCs w:val="22"/>
        </w:rPr>
        <w:t xml:space="preserve">στον προσωρινό ανάδοχο </w:t>
      </w:r>
      <w:r>
        <w:rPr>
          <w:rFonts w:ascii="Calibri" w:hAnsi="Calibri" w:cs="Calibri"/>
          <w:b/>
          <w:bCs/>
          <w:sz w:val="22"/>
          <w:szCs w:val="22"/>
        </w:rPr>
        <w:t xml:space="preserve">ΚΑΤΑΚΟΡΥΦΟ ΜΟΝΟΠΡΟΣΩΠΗ Ι.Κ.Ε.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>ι:</w:t>
      </w:r>
    </w:p>
    <w:p w:rsidR="00450DC4" w:rsidRPr="00D96D65" w:rsidRDefault="00450DC4" w:rsidP="00450DC4">
      <w:pPr>
        <w:numPr>
          <w:ilvl w:val="1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4 (σίτιση – δεξίωση καλεσμένων και Φιλαρμονικών): </w:t>
      </w:r>
      <w:r w:rsidRPr="00C229C6">
        <w:rPr>
          <w:rFonts w:ascii="Calibri" w:hAnsi="Calibri" w:cs="Calibri"/>
          <w:bCs/>
          <w:sz w:val="22"/>
          <w:szCs w:val="22"/>
        </w:rPr>
        <w:t>4.836,00€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450DC4">
      <w:pPr>
        <w:numPr>
          <w:ilvl w:val="1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5 (φιλοξενία καλεσμένων): </w:t>
      </w:r>
      <w:r w:rsidRPr="00C229C6">
        <w:rPr>
          <w:rFonts w:ascii="Calibri" w:hAnsi="Calibri" w:cs="Calibri"/>
          <w:bCs/>
          <w:sz w:val="22"/>
          <w:szCs w:val="22"/>
        </w:rPr>
        <w:t>4.588,00 €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450DC4">
      <w:pPr>
        <w:numPr>
          <w:ilvl w:val="1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6 (διαφήμιση Μ.Μ.Ε./βιντεοσκόπηση): </w:t>
      </w:r>
      <w:r w:rsidRPr="007160AD">
        <w:rPr>
          <w:rFonts w:ascii="Calibri" w:hAnsi="Calibri" w:cs="Calibri"/>
          <w:bCs/>
          <w:color w:val="000000"/>
          <w:sz w:val="22"/>
          <w:szCs w:val="22"/>
        </w:rPr>
        <w:t>11.036,00€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450DC4">
      <w:pPr>
        <w:numPr>
          <w:ilvl w:val="1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10 (Στάμνες): </w:t>
      </w:r>
      <w:r w:rsidRPr="00C229C6">
        <w:rPr>
          <w:rFonts w:ascii="Calibri" w:hAnsi="Calibri" w:cs="Calibri"/>
          <w:bCs/>
          <w:sz w:val="22"/>
          <w:szCs w:val="22"/>
        </w:rPr>
        <w:t>1.909,60 €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450DC4">
      <w:pPr>
        <w:numPr>
          <w:ilvl w:val="1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11 (Μεταφορά φιλαρμονικών): </w:t>
      </w:r>
      <w:r w:rsidRPr="00C229C6">
        <w:rPr>
          <w:rFonts w:ascii="Calibri" w:hAnsi="Calibri" w:cs="Calibri"/>
          <w:bCs/>
          <w:sz w:val="22"/>
          <w:szCs w:val="22"/>
        </w:rPr>
        <w:t>1.189,16 €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Default="00450DC4" w:rsidP="00450DC4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Για την κήρυξη του διαγωνισμού ως άγονου όσον αφορά στις ενότητες: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76D70">
        <w:rPr>
          <w:rFonts w:ascii="Calibri" w:hAnsi="Calibri" w:cs="Calibri"/>
          <w:sz w:val="22"/>
          <w:szCs w:val="22"/>
        </w:rPr>
        <w:t xml:space="preserve">2: </w:t>
      </w:r>
      <w:r>
        <w:rPr>
          <w:rFonts w:ascii="Calibri" w:hAnsi="Calibri" w:cs="Calibri"/>
          <w:sz w:val="22"/>
          <w:szCs w:val="22"/>
        </w:rPr>
        <w:t xml:space="preserve">Ενοικίαση </w:t>
      </w:r>
      <w:proofErr w:type="spellStart"/>
      <w:r>
        <w:rPr>
          <w:rFonts w:ascii="Calibri" w:hAnsi="Calibri" w:cs="Calibri"/>
          <w:sz w:val="22"/>
          <w:szCs w:val="22"/>
        </w:rPr>
        <w:t>τραπεζοκαθισμάτων</w:t>
      </w:r>
      <w:proofErr w:type="spellEnd"/>
      <w:r>
        <w:rPr>
          <w:rFonts w:ascii="Calibri" w:hAnsi="Calibri" w:cs="Calibri"/>
          <w:sz w:val="22"/>
          <w:szCs w:val="22"/>
        </w:rPr>
        <w:t xml:space="preserve"> και στεγάστρων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7: υπηρεσίες οργάνωσης αθλητικών εκδηλώσεων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8: στολισμός 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9: ενοικίαση τρένου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12: φαγητά – ποτά – ποτήρια και </w:t>
      </w:r>
      <w:proofErr w:type="spellStart"/>
      <w:r>
        <w:rPr>
          <w:rFonts w:ascii="Calibri" w:hAnsi="Calibri" w:cs="Calibri"/>
          <w:sz w:val="22"/>
          <w:szCs w:val="22"/>
        </w:rPr>
        <w:t>λοιπα</w:t>
      </w:r>
      <w:proofErr w:type="spellEnd"/>
      <w:r>
        <w:rPr>
          <w:rFonts w:ascii="Calibri" w:hAnsi="Calibri" w:cs="Calibri"/>
          <w:sz w:val="22"/>
          <w:szCs w:val="22"/>
        </w:rPr>
        <w:t xml:space="preserve"> υλικά για την Καθαρά Δευτέρα</w:t>
      </w:r>
    </w:p>
    <w:p w:rsidR="00450DC4" w:rsidRPr="00D76D70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13: βραβεία - έπαθλα</w:t>
      </w:r>
    </w:p>
    <w:p w:rsidR="00450DC4" w:rsidRDefault="00450DC4" w:rsidP="00450DC4">
      <w:pPr>
        <w:spacing w:line="360" w:lineRule="auto"/>
        <w:ind w:left="720" w:firstLine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και την </w:t>
      </w:r>
      <w:r w:rsidRPr="00433C0E">
        <w:rPr>
          <w:rFonts w:ascii="Calibri" w:hAnsi="Calibri" w:cs="Calibri"/>
          <w:b/>
          <w:sz w:val="22"/>
          <w:szCs w:val="22"/>
          <w:u w:val="single"/>
        </w:rPr>
        <w:t>προσφυγή στη διαδικασία διαπραγμάτευσης χωρίς προηγούμενη δημοσίευση</w:t>
      </w:r>
      <w:r w:rsidRPr="00433C0E">
        <w:rPr>
          <w:rFonts w:ascii="Calibri" w:hAnsi="Calibri" w:cs="Calibri"/>
          <w:b/>
          <w:sz w:val="22"/>
          <w:szCs w:val="22"/>
        </w:rPr>
        <w:t xml:space="preserve"> </w:t>
      </w:r>
    </w:p>
    <w:p w:rsidR="00450DC4" w:rsidRPr="00F65980" w:rsidRDefault="00450DC4" w:rsidP="00450DC4">
      <w:pPr>
        <w:spacing w:line="360" w:lineRule="auto"/>
        <w:ind w:left="720" w:firstLine="720"/>
        <w:jc w:val="both"/>
        <w:rPr>
          <w:rFonts w:ascii="Calibri" w:hAnsi="Calibri" w:cs="Calibri"/>
          <w:sz w:val="22"/>
          <w:szCs w:val="22"/>
        </w:rPr>
      </w:pPr>
      <w:r w:rsidRPr="00433C0E">
        <w:rPr>
          <w:rFonts w:ascii="Calibri" w:hAnsi="Calibri" w:cs="Calibri"/>
          <w:b/>
          <w:sz w:val="22"/>
          <w:szCs w:val="22"/>
        </w:rPr>
        <w:t>για το αντικείμενο τ</w:t>
      </w:r>
      <w:r>
        <w:rPr>
          <w:rFonts w:ascii="Calibri" w:hAnsi="Calibri" w:cs="Calibri"/>
          <w:b/>
          <w:sz w:val="22"/>
          <w:szCs w:val="22"/>
        </w:rPr>
        <w:t>ων</w:t>
      </w:r>
      <w:r w:rsidRPr="00433C0E">
        <w:rPr>
          <w:rFonts w:ascii="Calibri" w:hAnsi="Calibri" w:cs="Calibri"/>
          <w:b/>
          <w:sz w:val="22"/>
          <w:szCs w:val="22"/>
        </w:rPr>
        <w:t xml:space="preserve"> συγκεκριμέν</w:t>
      </w:r>
      <w:r>
        <w:rPr>
          <w:rFonts w:ascii="Calibri" w:hAnsi="Calibri" w:cs="Calibri"/>
          <w:b/>
          <w:sz w:val="22"/>
          <w:szCs w:val="22"/>
        </w:rPr>
        <w:t>ων</w:t>
      </w:r>
      <w:r w:rsidRPr="00433C0E">
        <w:rPr>
          <w:rFonts w:ascii="Calibri" w:hAnsi="Calibri" w:cs="Calibri"/>
          <w:b/>
          <w:sz w:val="22"/>
          <w:szCs w:val="22"/>
        </w:rPr>
        <w:t xml:space="preserve"> ενοτ</w:t>
      </w:r>
      <w:r>
        <w:rPr>
          <w:rFonts w:ascii="Calibri" w:hAnsi="Calibri" w:cs="Calibri"/>
          <w:b/>
          <w:sz w:val="22"/>
          <w:szCs w:val="22"/>
        </w:rPr>
        <w:t>ήτων.</w:t>
      </w:r>
    </w:p>
    <w:p w:rsidR="003E6D28" w:rsidRPr="00D1422F" w:rsidRDefault="003E6D28" w:rsidP="003E6D28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</w:p>
    <w:p w:rsidR="00E3104E" w:rsidRDefault="00E3104E" w:rsidP="00E3104E">
      <w:pPr>
        <w:jc w:val="both"/>
        <w:rPr>
          <w:rFonts w:ascii="Comic Sans MS" w:hAnsi="Comic Sans MS" w:cs="Arial"/>
          <w:sz w:val="20"/>
          <w:szCs w:val="20"/>
        </w:rPr>
      </w:pPr>
    </w:p>
    <w:p w:rsidR="00E3104E" w:rsidRDefault="00E3104E" w:rsidP="00E3104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3104E" w:rsidRDefault="00E3104E" w:rsidP="00E3104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3104E" w:rsidRDefault="00E3104E" w:rsidP="00E3104E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D1422F">
        <w:rPr>
          <w:rFonts w:ascii="Comic Sans MS" w:hAnsi="Comic Sans MS"/>
          <w:sz w:val="20"/>
          <w:szCs w:val="20"/>
        </w:rPr>
        <w:t>463/2006, Ν.3852/2010, το από 10-09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E3104E" w:rsidRDefault="00E3104E" w:rsidP="00E3104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1422F" w:rsidRPr="00D1422F" w:rsidRDefault="00E3104E" w:rsidP="00D1422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D1422F">
        <w:rPr>
          <w:rFonts w:ascii="Comic Sans MS" w:hAnsi="Comic Sans MS"/>
          <w:sz w:val="20"/>
          <w:szCs w:val="20"/>
        </w:rPr>
        <w:t xml:space="preserve"> ιστορικό της παρούσης το από 10-09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που αφορά την </w:t>
      </w:r>
      <w:r>
        <w:rPr>
          <w:rFonts w:ascii="Comic Sans MS" w:hAnsi="Comic Sans MS" w:cs="Arial"/>
          <w:bCs/>
          <w:sz w:val="20"/>
          <w:szCs w:val="20"/>
        </w:rPr>
        <w:t>κατάθεση φακέλων προσφορών από τους ενδιαφερόμενους για την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471004">
        <w:rPr>
          <w:rFonts w:ascii="Comic Sans MS" w:hAnsi="Comic Sans MS" w:cs="Arial"/>
          <w:sz w:val="20"/>
          <w:szCs w:val="20"/>
        </w:rPr>
        <w:t>υπηρεσία:</w:t>
      </w:r>
      <w:r w:rsidR="00471004">
        <w:rPr>
          <w:rFonts w:ascii="Comic Sans MS" w:hAnsi="Comic Sans MS" w:cs="Arial"/>
          <w:b/>
          <w:sz w:val="20"/>
          <w:szCs w:val="20"/>
        </w:rPr>
        <w:t xml:space="preserve"> </w:t>
      </w:r>
      <w:r w:rsidR="00471004" w:rsidRPr="00127324">
        <w:rPr>
          <w:rFonts w:ascii="Comic Sans MS" w:hAnsi="Comic Sans MS" w:cs="Arial"/>
          <w:b/>
          <w:sz w:val="20"/>
          <w:szCs w:val="20"/>
        </w:rPr>
        <w:t xml:space="preserve">Υπηρεσίες ετήσιων πολιτιστικών εκδηλώσεων Δήμου </w:t>
      </w:r>
      <w:proofErr w:type="spellStart"/>
      <w:r w:rsidR="00471004" w:rsidRPr="0012732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71004" w:rsidRPr="00127324">
        <w:rPr>
          <w:rFonts w:ascii="Comic Sans MS" w:hAnsi="Comic Sans MS"/>
          <w:sz w:val="20"/>
          <w:szCs w:val="20"/>
        </w:rPr>
        <w:t xml:space="preserve"> </w:t>
      </w:r>
      <w:r w:rsidR="00471004" w:rsidRPr="00127324">
        <w:rPr>
          <w:rFonts w:ascii="Comic Sans MS" w:hAnsi="Comic Sans MS"/>
          <w:b/>
          <w:sz w:val="20"/>
          <w:szCs w:val="20"/>
        </w:rPr>
        <w:t>2018-2019</w:t>
      </w:r>
      <w:r w:rsidR="0047100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ως κατωτέρω</w:t>
      </w:r>
      <w:r w:rsidR="00471004">
        <w:rPr>
          <w:rFonts w:ascii="Comic Sans MS" w:hAnsi="Comic Sans MS"/>
          <w:sz w:val="20"/>
          <w:szCs w:val="20"/>
        </w:rPr>
        <w:t>:</w:t>
      </w:r>
    </w:p>
    <w:p w:rsidR="00450DC4" w:rsidRPr="00C229C6" w:rsidRDefault="00450DC4" w:rsidP="00F8078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proofErr w:type="spellStart"/>
      <w:r>
        <w:rPr>
          <w:rFonts w:ascii="Calibri" w:hAnsi="Calibri" w:cs="Calibri"/>
          <w:bCs/>
          <w:sz w:val="22"/>
          <w:szCs w:val="22"/>
        </w:rPr>
        <w:t>ενοτήτας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1 (</w:t>
      </w:r>
      <w:proofErr w:type="spellStart"/>
      <w:r>
        <w:rPr>
          <w:rFonts w:ascii="Calibri" w:hAnsi="Calibri" w:cs="Calibri"/>
          <w:bCs/>
          <w:sz w:val="22"/>
          <w:szCs w:val="22"/>
        </w:rPr>
        <w:t>ηχοφωτιστική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κάλυψη εκδηλώσεων) στον προσωρινό ανάδοχο </w:t>
      </w:r>
      <w:r>
        <w:rPr>
          <w:rFonts w:ascii="Calibri" w:hAnsi="Calibri" w:cs="Calibri"/>
          <w:b/>
          <w:bCs/>
          <w:sz w:val="22"/>
          <w:szCs w:val="22"/>
        </w:rPr>
        <w:t>ΚΑΡΑΤΖΙΑ ΓΕΩΡΓΙΟ</w:t>
      </w:r>
      <w:r w:rsidRPr="00C229C6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 xml:space="preserve">ι </w:t>
      </w:r>
      <w:r w:rsidRPr="00C229C6">
        <w:rPr>
          <w:rFonts w:ascii="Calibri" w:hAnsi="Calibri" w:cs="Calibri"/>
          <w:bCs/>
          <w:sz w:val="22"/>
          <w:szCs w:val="22"/>
        </w:rPr>
        <w:t>24.998,40 €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</w:p>
    <w:p w:rsidR="00450DC4" w:rsidRPr="00F65980" w:rsidRDefault="00450DC4" w:rsidP="00F8078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της </w:t>
      </w:r>
      <w:proofErr w:type="spellStart"/>
      <w:r>
        <w:rPr>
          <w:rFonts w:ascii="Calibri" w:hAnsi="Calibri" w:cs="Calibri"/>
          <w:bCs/>
          <w:sz w:val="22"/>
          <w:szCs w:val="22"/>
        </w:rPr>
        <w:t>ενοτήτας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3 (έντυπο υλικό και συναφή </w:t>
      </w:r>
      <w:proofErr w:type="spellStart"/>
      <w:r>
        <w:rPr>
          <w:rFonts w:ascii="Calibri" w:hAnsi="Calibri" w:cs="Calibri"/>
          <w:bCs/>
          <w:sz w:val="22"/>
          <w:szCs w:val="22"/>
        </w:rPr>
        <w:t>προϊοντα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) στον προσωρινό ανάδοχο </w:t>
      </w:r>
      <w:r w:rsidRPr="00C229C6">
        <w:rPr>
          <w:rFonts w:ascii="Calibri" w:hAnsi="Calibri" w:cs="Calibri"/>
          <w:b/>
          <w:bCs/>
          <w:sz w:val="22"/>
          <w:szCs w:val="22"/>
        </w:rPr>
        <w:t>ΠΡΙΝΤΕΞ ΨΗΦΙΑΚΗ ΤΕΧΝΟΛΟΓΙΑ ΕΤΑΙΡΕΙΑ ΠΕΡΙΟΡΙΣΜΕΝΗΣ ΕΥΘΥΝΗΣ</w:t>
      </w:r>
      <w:r w:rsidRPr="00C229C6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 xml:space="preserve">ι </w:t>
      </w:r>
      <w:r w:rsidRPr="00C229C6">
        <w:rPr>
          <w:rFonts w:ascii="Calibri" w:hAnsi="Calibri" w:cs="Calibri"/>
          <w:bCs/>
          <w:sz w:val="22"/>
          <w:szCs w:val="22"/>
        </w:rPr>
        <w:t>4.228,40€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</w:p>
    <w:p w:rsidR="00450DC4" w:rsidRPr="00D96D65" w:rsidRDefault="00450DC4" w:rsidP="00F8078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bCs/>
          <w:sz w:val="22"/>
          <w:szCs w:val="22"/>
        </w:rPr>
        <w:t xml:space="preserve">Για την κατακύρωση της σύμβασης </w:t>
      </w:r>
      <w:r>
        <w:rPr>
          <w:rFonts w:ascii="Calibri" w:hAnsi="Calibri" w:cs="Calibri"/>
          <w:bCs/>
          <w:sz w:val="22"/>
          <w:szCs w:val="22"/>
        </w:rPr>
        <w:t xml:space="preserve">των ενοτήτων </w:t>
      </w:r>
      <w:r w:rsidRPr="000C6212">
        <w:rPr>
          <w:rFonts w:ascii="Calibri" w:hAnsi="Calibri" w:cs="Calibri"/>
          <w:bCs/>
          <w:sz w:val="22"/>
          <w:szCs w:val="22"/>
        </w:rPr>
        <w:t xml:space="preserve">4, 5, 6, 10 </w:t>
      </w:r>
      <w:r>
        <w:rPr>
          <w:rFonts w:ascii="Calibri" w:hAnsi="Calibri" w:cs="Calibri"/>
          <w:bCs/>
          <w:sz w:val="22"/>
          <w:szCs w:val="22"/>
        </w:rPr>
        <w:t xml:space="preserve">και 11 </w:t>
      </w:r>
      <w:r w:rsidRPr="000D4EF2">
        <w:rPr>
          <w:rFonts w:ascii="Calibri" w:hAnsi="Calibri" w:cs="Calibri"/>
          <w:bCs/>
          <w:sz w:val="22"/>
          <w:szCs w:val="22"/>
        </w:rPr>
        <w:t xml:space="preserve">στον προσωρινό ανάδοχο </w:t>
      </w:r>
      <w:r>
        <w:rPr>
          <w:rFonts w:ascii="Calibri" w:hAnsi="Calibri" w:cs="Calibri"/>
          <w:b/>
          <w:bCs/>
          <w:sz w:val="22"/>
          <w:szCs w:val="22"/>
        </w:rPr>
        <w:t xml:space="preserve">ΚΑΤΑΚΟΡΥΦΟ ΜΟΝΟΠΡΟΣΩΠΗ Ι.Κ.Ε. </w:t>
      </w:r>
      <w:r w:rsidRPr="000D4EF2">
        <w:rPr>
          <w:rFonts w:ascii="Calibri" w:hAnsi="Calibri" w:cs="Calibri"/>
          <w:bCs/>
          <w:sz w:val="22"/>
          <w:szCs w:val="22"/>
        </w:rPr>
        <w:t>ο οποίος κατέθεσε την πλέον συμφέρουσα οικονομική προσφορά βάσει τιμής του συνολικού προϋπολογισμού</w:t>
      </w:r>
      <w:r>
        <w:rPr>
          <w:rFonts w:ascii="Calibri" w:hAnsi="Calibri" w:cs="Calibri"/>
          <w:bCs/>
          <w:sz w:val="22"/>
          <w:szCs w:val="22"/>
        </w:rPr>
        <w:t>,</w:t>
      </w:r>
      <w:r w:rsidRPr="000D4EF2">
        <w:rPr>
          <w:rFonts w:ascii="Calibri" w:hAnsi="Calibri" w:cs="Calibri"/>
          <w:bCs/>
          <w:sz w:val="22"/>
          <w:szCs w:val="22"/>
        </w:rPr>
        <w:t xml:space="preserve"> ήτο</w:t>
      </w:r>
      <w:r>
        <w:rPr>
          <w:rFonts w:ascii="Calibri" w:hAnsi="Calibri" w:cs="Calibri"/>
          <w:bCs/>
          <w:sz w:val="22"/>
          <w:szCs w:val="22"/>
        </w:rPr>
        <w:t>ι:</w:t>
      </w:r>
    </w:p>
    <w:p w:rsidR="00450DC4" w:rsidRPr="00D96D65" w:rsidRDefault="00450DC4" w:rsidP="00F80788">
      <w:pPr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Για την ενότητα 4 (σίτιση – δεξίωση καλεσμένων και Φιλαρμονικών): </w:t>
      </w:r>
      <w:r w:rsidRPr="00C229C6">
        <w:rPr>
          <w:rFonts w:ascii="Calibri" w:hAnsi="Calibri" w:cs="Calibri"/>
          <w:bCs/>
          <w:sz w:val="22"/>
          <w:szCs w:val="22"/>
        </w:rPr>
        <w:t>4.836,00€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F80788">
      <w:pPr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5 (φιλοξενία καλεσμένων): </w:t>
      </w:r>
      <w:r w:rsidRPr="00C229C6">
        <w:rPr>
          <w:rFonts w:ascii="Calibri" w:hAnsi="Calibri" w:cs="Calibri"/>
          <w:bCs/>
          <w:sz w:val="22"/>
          <w:szCs w:val="22"/>
        </w:rPr>
        <w:t>4.588,00 €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F80788">
      <w:pPr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6 (διαφήμιση Μ.Μ.Ε./βιντεοσκόπηση): </w:t>
      </w:r>
      <w:r w:rsidRPr="007160AD">
        <w:rPr>
          <w:rFonts w:ascii="Calibri" w:hAnsi="Calibri" w:cs="Calibri"/>
          <w:bCs/>
          <w:color w:val="000000"/>
          <w:sz w:val="22"/>
          <w:szCs w:val="22"/>
        </w:rPr>
        <w:t>11.036,00€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F80788">
      <w:pPr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10 (Στάμνες): </w:t>
      </w:r>
      <w:r w:rsidRPr="00C229C6">
        <w:rPr>
          <w:rFonts w:ascii="Calibri" w:hAnsi="Calibri" w:cs="Calibri"/>
          <w:bCs/>
          <w:sz w:val="22"/>
          <w:szCs w:val="22"/>
        </w:rPr>
        <w:t>1.909,60 €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Pr="00D96D65" w:rsidRDefault="00450DC4" w:rsidP="00F80788">
      <w:pPr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Για την ενότητα 11 (Μεταφορά φιλαρμονικών): </w:t>
      </w:r>
      <w:r w:rsidRPr="00C229C6">
        <w:rPr>
          <w:rFonts w:ascii="Calibri" w:hAnsi="Calibri" w:cs="Calibri"/>
          <w:bCs/>
          <w:sz w:val="22"/>
          <w:szCs w:val="22"/>
        </w:rPr>
        <w:t>1.189,16 €</w:t>
      </w:r>
      <w:r>
        <w:rPr>
          <w:rFonts w:ascii="Calibri" w:hAnsi="Calibri" w:cs="Calibri"/>
          <w:bCs/>
          <w:sz w:val="22"/>
          <w:szCs w:val="22"/>
        </w:rPr>
        <w:t xml:space="preserve"> συμπεριλαμβανόμενου Φ.Π.Α.</w:t>
      </w:r>
      <w:r w:rsidRPr="000D4EF2">
        <w:rPr>
          <w:rFonts w:ascii="Calibri" w:hAnsi="Calibri" w:cs="Calibri"/>
          <w:bCs/>
          <w:sz w:val="22"/>
          <w:szCs w:val="22"/>
        </w:rPr>
        <w:t xml:space="preserve"> </w:t>
      </w:r>
    </w:p>
    <w:p w:rsidR="00450DC4" w:rsidRDefault="00450DC4" w:rsidP="00F80788">
      <w:pPr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Για την κήρυξη του διαγωνισμού ως άγονου όσον αφορά στις ενότητες: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76D70">
        <w:rPr>
          <w:rFonts w:ascii="Calibri" w:hAnsi="Calibri" w:cs="Calibri"/>
          <w:sz w:val="22"/>
          <w:szCs w:val="22"/>
        </w:rPr>
        <w:t xml:space="preserve">2: </w:t>
      </w:r>
      <w:r>
        <w:rPr>
          <w:rFonts w:ascii="Calibri" w:hAnsi="Calibri" w:cs="Calibri"/>
          <w:sz w:val="22"/>
          <w:szCs w:val="22"/>
        </w:rPr>
        <w:t xml:space="preserve">Ενοικίαση </w:t>
      </w:r>
      <w:proofErr w:type="spellStart"/>
      <w:r>
        <w:rPr>
          <w:rFonts w:ascii="Calibri" w:hAnsi="Calibri" w:cs="Calibri"/>
          <w:sz w:val="22"/>
          <w:szCs w:val="22"/>
        </w:rPr>
        <w:t>τραπεζοκαθισμάτων</w:t>
      </w:r>
      <w:proofErr w:type="spellEnd"/>
      <w:r>
        <w:rPr>
          <w:rFonts w:ascii="Calibri" w:hAnsi="Calibri" w:cs="Calibri"/>
          <w:sz w:val="22"/>
          <w:szCs w:val="22"/>
        </w:rPr>
        <w:t xml:space="preserve"> και στεγάστρων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7: υπηρεσίες οργάνωσης αθλητικών εκδηλώσεων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8: στολισμός 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9: ενοικίαση τρένου</w:t>
      </w:r>
    </w:p>
    <w:p w:rsidR="00450DC4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12: φαγητά – ποτά – ποτήρια και </w:t>
      </w:r>
      <w:proofErr w:type="spellStart"/>
      <w:r>
        <w:rPr>
          <w:rFonts w:ascii="Calibri" w:hAnsi="Calibri" w:cs="Calibri"/>
          <w:sz w:val="22"/>
          <w:szCs w:val="22"/>
        </w:rPr>
        <w:t>λοιπα</w:t>
      </w:r>
      <w:proofErr w:type="spellEnd"/>
      <w:r>
        <w:rPr>
          <w:rFonts w:ascii="Calibri" w:hAnsi="Calibri" w:cs="Calibri"/>
          <w:sz w:val="22"/>
          <w:szCs w:val="22"/>
        </w:rPr>
        <w:t xml:space="preserve"> υλικά για την Καθαρά Δευτέρα</w:t>
      </w:r>
    </w:p>
    <w:p w:rsidR="00450DC4" w:rsidRPr="00D76D70" w:rsidRDefault="00450DC4" w:rsidP="00450DC4">
      <w:pPr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13: βραβεία - έπαθλα</w:t>
      </w:r>
    </w:p>
    <w:p w:rsidR="00450DC4" w:rsidRPr="00450DC4" w:rsidRDefault="00450DC4" w:rsidP="00450DC4">
      <w:pPr>
        <w:spacing w:line="360" w:lineRule="auto"/>
        <w:ind w:left="720" w:firstLine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και την </w:t>
      </w:r>
      <w:r w:rsidRPr="00433C0E">
        <w:rPr>
          <w:rFonts w:ascii="Calibri" w:hAnsi="Calibri" w:cs="Calibri"/>
          <w:b/>
          <w:sz w:val="22"/>
          <w:szCs w:val="22"/>
          <w:u w:val="single"/>
        </w:rPr>
        <w:t>προσφυγή στη διαδικασία διαπραγμάτευσης χωρίς προηγούμενη δημοσίευση</w:t>
      </w:r>
      <w:r w:rsidRPr="00433C0E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  </w:t>
      </w:r>
      <w:r w:rsidRPr="00433C0E">
        <w:rPr>
          <w:rFonts w:ascii="Calibri" w:hAnsi="Calibri" w:cs="Calibri"/>
          <w:b/>
          <w:sz w:val="22"/>
          <w:szCs w:val="22"/>
        </w:rPr>
        <w:t>για το αντικείμενο τ</w:t>
      </w:r>
      <w:r>
        <w:rPr>
          <w:rFonts w:ascii="Calibri" w:hAnsi="Calibri" w:cs="Calibri"/>
          <w:b/>
          <w:sz w:val="22"/>
          <w:szCs w:val="22"/>
        </w:rPr>
        <w:t>ων</w:t>
      </w:r>
      <w:r w:rsidRPr="00433C0E">
        <w:rPr>
          <w:rFonts w:ascii="Calibri" w:hAnsi="Calibri" w:cs="Calibri"/>
          <w:b/>
          <w:sz w:val="22"/>
          <w:szCs w:val="22"/>
        </w:rPr>
        <w:t xml:space="preserve"> συγκεκριμέν</w:t>
      </w:r>
      <w:r>
        <w:rPr>
          <w:rFonts w:ascii="Calibri" w:hAnsi="Calibri" w:cs="Calibri"/>
          <w:b/>
          <w:sz w:val="22"/>
          <w:szCs w:val="22"/>
        </w:rPr>
        <w:t>ων</w:t>
      </w:r>
      <w:r w:rsidRPr="00433C0E">
        <w:rPr>
          <w:rFonts w:ascii="Calibri" w:hAnsi="Calibri" w:cs="Calibri"/>
          <w:b/>
          <w:sz w:val="22"/>
          <w:szCs w:val="22"/>
        </w:rPr>
        <w:t xml:space="preserve"> ενοτ</w:t>
      </w:r>
      <w:r>
        <w:rPr>
          <w:rFonts w:ascii="Calibri" w:hAnsi="Calibri" w:cs="Calibri"/>
          <w:b/>
          <w:sz w:val="22"/>
          <w:szCs w:val="22"/>
        </w:rPr>
        <w:t>ήτων.</w:t>
      </w:r>
    </w:p>
    <w:p w:rsidR="00450DC4" w:rsidRDefault="00450DC4" w:rsidP="00E3104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3104E" w:rsidRDefault="00E3104E" w:rsidP="00E3104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3104E" w:rsidRDefault="00E3104E" w:rsidP="00E3104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1422F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BE6AC2">
        <w:rPr>
          <w:rFonts w:ascii="Comic Sans MS" w:hAnsi="Comic Sans MS"/>
          <w:b/>
          <w:sz w:val="20"/>
          <w:szCs w:val="20"/>
        </w:rPr>
        <w:t>467</w:t>
      </w:r>
      <w:r w:rsidR="0047100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E3104E" w:rsidRDefault="00E3104E" w:rsidP="00E3104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E3104E" w:rsidRDefault="00E3104E" w:rsidP="00E3104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E3104E" w:rsidRDefault="00E3104E" w:rsidP="00E3104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E3104E" w:rsidRDefault="00E3104E" w:rsidP="00E3104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3104E" w:rsidRDefault="00E3104E" w:rsidP="00E3104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E3104E" w:rsidRDefault="00E3104E" w:rsidP="00E310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3104E" w:rsidRDefault="00E3104E" w:rsidP="00E310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3104E" w:rsidRDefault="00E3104E" w:rsidP="00E3104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3104E" w:rsidRDefault="00E3104E" w:rsidP="00E3104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3104E" w:rsidRDefault="00E3104E" w:rsidP="00E310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3104E" w:rsidRDefault="00E3104E" w:rsidP="00E3104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3104E" w:rsidRDefault="00E3104E" w:rsidP="00E3104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3104E" w:rsidRDefault="00E3104E" w:rsidP="00E3104E"/>
    <w:p w:rsidR="00E3104E" w:rsidRDefault="00E3104E" w:rsidP="00E3104E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193F"/>
    <w:multiLevelType w:val="hybridMultilevel"/>
    <w:tmpl w:val="6C14A2C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75447"/>
    <w:multiLevelType w:val="hybridMultilevel"/>
    <w:tmpl w:val="819E1994"/>
    <w:lvl w:ilvl="0" w:tplc="C700BEFA">
      <w:start w:val="1"/>
      <w:numFmt w:val="decimal"/>
      <w:lvlText w:val="%1."/>
      <w:lvlJc w:val="left"/>
      <w:pPr>
        <w:ind w:left="825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545" w:hanging="360"/>
      </w:pPr>
    </w:lvl>
    <w:lvl w:ilvl="2" w:tplc="0408001B" w:tentative="1">
      <w:start w:val="1"/>
      <w:numFmt w:val="lowerRoman"/>
      <w:lvlText w:val="%3."/>
      <w:lvlJc w:val="right"/>
      <w:pPr>
        <w:ind w:left="2265" w:hanging="180"/>
      </w:pPr>
    </w:lvl>
    <w:lvl w:ilvl="3" w:tplc="0408000F" w:tentative="1">
      <w:start w:val="1"/>
      <w:numFmt w:val="decimal"/>
      <w:lvlText w:val="%4."/>
      <w:lvlJc w:val="left"/>
      <w:pPr>
        <w:ind w:left="2985" w:hanging="360"/>
      </w:pPr>
    </w:lvl>
    <w:lvl w:ilvl="4" w:tplc="04080019" w:tentative="1">
      <w:start w:val="1"/>
      <w:numFmt w:val="lowerLetter"/>
      <w:lvlText w:val="%5."/>
      <w:lvlJc w:val="left"/>
      <w:pPr>
        <w:ind w:left="3705" w:hanging="360"/>
      </w:pPr>
    </w:lvl>
    <w:lvl w:ilvl="5" w:tplc="0408001B" w:tentative="1">
      <w:start w:val="1"/>
      <w:numFmt w:val="lowerRoman"/>
      <w:lvlText w:val="%6."/>
      <w:lvlJc w:val="right"/>
      <w:pPr>
        <w:ind w:left="4425" w:hanging="180"/>
      </w:pPr>
    </w:lvl>
    <w:lvl w:ilvl="6" w:tplc="0408000F" w:tentative="1">
      <w:start w:val="1"/>
      <w:numFmt w:val="decimal"/>
      <w:lvlText w:val="%7."/>
      <w:lvlJc w:val="left"/>
      <w:pPr>
        <w:ind w:left="5145" w:hanging="360"/>
      </w:pPr>
    </w:lvl>
    <w:lvl w:ilvl="7" w:tplc="04080019" w:tentative="1">
      <w:start w:val="1"/>
      <w:numFmt w:val="lowerLetter"/>
      <w:lvlText w:val="%8."/>
      <w:lvlJc w:val="left"/>
      <w:pPr>
        <w:ind w:left="5865" w:hanging="360"/>
      </w:pPr>
    </w:lvl>
    <w:lvl w:ilvl="8" w:tplc="040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27C30BC2"/>
    <w:multiLevelType w:val="hybridMultilevel"/>
    <w:tmpl w:val="6C14A2C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32C583A"/>
    <w:multiLevelType w:val="hybridMultilevel"/>
    <w:tmpl w:val="819E1994"/>
    <w:lvl w:ilvl="0" w:tplc="C700BEFA">
      <w:start w:val="1"/>
      <w:numFmt w:val="decimal"/>
      <w:lvlText w:val="%1."/>
      <w:lvlJc w:val="left"/>
      <w:pPr>
        <w:ind w:left="825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545" w:hanging="360"/>
      </w:pPr>
    </w:lvl>
    <w:lvl w:ilvl="2" w:tplc="0408001B" w:tentative="1">
      <w:start w:val="1"/>
      <w:numFmt w:val="lowerRoman"/>
      <w:lvlText w:val="%3."/>
      <w:lvlJc w:val="right"/>
      <w:pPr>
        <w:ind w:left="2265" w:hanging="180"/>
      </w:pPr>
    </w:lvl>
    <w:lvl w:ilvl="3" w:tplc="0408000F" w:tentative="1">
      <w:start w:val="1"/>
      <w:numFmt w:val="decimal"/>
      <w:lvlText w:val="%4."/>
      <w:lvlJc w:val="left"/>
      <w:pPr>
        <w:ind w:left="2985" w:hanging="360"/>
      </w:pPr>
    </w:lvl>
    <w:lvl w:ilvl="4" w:tplc="04080019" w:tentative="1">
      <w:start w:val="1"/>
      <w:numFmt w:val="lowerLetter"/>
      <w:lvlText w:val="%5."/>
      <w:lvlJc w:val="left"/>
      <w:pPr>
        <w:ind w:left="3705" w:hanging="360"/>
      </w:pPr>
    </w:lvl>
    <w:lvl w:ilvl="5" w:tplc="0408001B" w:tentative="1">
      <w:start w:val="1"/>
      <w:numFmt w:val="lowerRoman"/>
      <w:lvlText w:val="%6."/>
      <w:lvlJc w:val="right"/>
      <w:pPr>
        <w:ind w:left="4425" w:hanging="180"/>
      </w:pPr>
    </w:lvl>
    <w:lvl w:ilvl="6" w:tplc="0408000F" w:tentative="1">
      <w:start w:val="1"/>
      <w:numFmt w:val="decimal"/>
      <w:lvlText w:val="%7."/>
      <w:lvlJc w:val="left"/>
      <w:pPr>
        <w:ind w:left="5145" w:hanging="360"/>
      </w:pPr>
    </w:lvl>
    <w:lvl w:ilvl="7" w:tplc="04080019" w:tentative="1">
      <w:start w:val="1"/>
      <w:numFmt w:val="lowerLetter"/>
      <w:lvlText w:val="%8."/>
      <w:lvlJc w:val="left"/>
      <w:pPr>
        <w:ind w:left="5865" w:hanging="360"/>
      </w:pPr>
    </w:lvl>
    <w:lvl w:ilvl="8" w:tplc="040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3AFB62BE"/>
    <w:multiLevelType w:val="hybridMultilevel"/>
    <w:tmpl w:val="5F9C5C8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139"/>
    <w:multiLevelType w:val="hybridMultilevel"/>
    <w:tmpl w:val="AB72E56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5B73F42"/>
    <w:multiLevelType w:val="hybridMultilevel"/>
    <w:tmpl w:val="2C3ED3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82862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22228D8"/>
    <w:multiLevelType w:val="hybridMultilevel"/>
    <w:tmpl w:val="4EDCCC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04F4C"/>
    <w:multiLevelType w:val="hybridMultilevel"/>
    <w:tmpl w:val="B37AC67A"/>
    <w:lvl w:ilvl="0" w:tplc="D4F68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A307AB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6102A0"/>
    <w:multiLevelType w:val="hybridMultilevel"/>
    <w:tmpl w:val="4D36839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17167"/>
    <w:multiLevelType w:val="hybridMultilevel"/>
    <w:tmpl w:val="5F9C5C8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303249"/>
    <w:multiLevelType w:val="hybridMultilevel"/>
    <w:tmpl w:val="F4CC0006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4"/>
  </w:num>
  <w:num w:numId="6">
    <w:abstractNumId w:val="5"/>
  </w:num>
  <w:num w:numId="7">
    <w:abstractNumId w:val="13"/>
  </w:num>
  <w:num w:numId="8">
    <w:abstractNumId w:val="4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5"/>
  </w:num>
  <w:num w:numId="14">
    <w:abstractNumId w:val="7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04E"/>
    <w:rsid w:val="00033C87"/>
    <w:rsid w:val="00040528"/>
    <w:rsid w:val="0006264D"/>
    <w:rsid w:val="00074F89"/>
    <w:rsid w:val="000D5856"/>
    <w:rsid w:val="000F1ECE"/>
    <w:rsid w:val="00120CA1"/>
    <w:rsid w:val="00127324"/>
    <w:rsid w:val="00225E77"/>
    <w:rsid w:val="00250C3B"/>
    <w:rsid w:val="002B0F68"/>
    <w:rsid w:val="002D7EB1"/>
    <w:rsid w:val="002F7024"/>
    <w:rsid w:val="003145AC"/>
    <w:rsid w:val="003350E5"/>
    <w:rsid w:val="003C4E14"/>
    <w:rsid w:val="003E6D28"/>
    <w:rsid w:val="0041164A"/>
    <w:rsid w:val="00450DC4"/>
    <w:rsid w:val="00466530"/>
    <w:rsid w:val="00471004"/>
    <w:rsid w:val="004A4580"/>
    <w:rsid w:val="004B2C2C"/>
    <w:rsid w:val="004E15E4"/>
    <w:rsid w:val="005B1C12"/>
    <w:rsid w:val="00725E7F"/>
    <w:rsid w:val="009001FC"/>
    <w:rsid w:val="009933A2"/>
    <w:rsid w:val="00A051C6"/>
    <w:rsid w:val="00A83651"/>
    <w:rsid w:val="00BA5A01"/>
    <w:rsid w:val="00BE6AC2"/>
    <w:rsid w:val="00CB6BD1"/>
    <w:rsid w:val="00D122F0"/>
    <w:rsid w:val="00D1422F"/>
    <w:rsid w:val="00E025E6"/>
    <w:rsid w:val="00E3104E"/>
    <w:rsid w:val="00F8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051C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051C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051C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051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051C6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D14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1398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2018-09-26T04:30:00Z</cp:lastPrinted>
  <dcterms:created xsi:type="dcterms:W3CDTF">2018-08-24T07:20:00Z</dcterms:created>
  <dcterms:modified xsi:type="dcterms:W3CDTF">2018-09-26T04:31:00Z</dcterms:modified>
</cp:coreProperties>
</file>