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1561B0">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7345C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w:t>
            </w:r>
            <w:r w:rsidR="00EB3A57">
              <w:rPr>
                <w:rFonts w:ascii="Tahoma" w:hAnsi="Tahoma" w:cs="Tahoma"/>
                <w:b/>
                <w:bCs/>
                <w:sz w:val="22"/>
                <w:szCs w:val="22"/>
              </w:rPr>
              <w:t>6</w:t>
            </w:r>
            <w:r w:rsidR="007345C9">
              <w:rPr>
                <w:rFonts w:ascii="Tahoma" w:hAnsi="Tahoma" w:cs="Tahoma"/>
                <w:b/>
                <w:bCs/>
                <w:sz w:val="22"/>
                <w:szCs w:val="22"/>
              </w:rPr>
              <w:t>8</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905E49" w:rsidRDefault="0057073F" w:rsidP="00905E49">
            <w:pPr>
              <w:pStyle w:val="aff"/>
              <w:rPr>
                <w:rStyle w:val="af1"/>
                <w:rFonts w:ascii="Tahoma" w:hAnsi="Tahoma" w:cs="Tahoma"/>
                <w:i w:val="0"/>
                <w:iCs w:val="0"/>
                <w:sz w:val="24"/>
                <w:szCs w:val="24"/>
              </w:rPr>
            </w:pPr>
            <w:r>
              <w:rPr>
                <w:rFonts w:ascii="Tahoma" w:hAnsi="Tahoma" w:cs="Tahoma"/>
              </w:rPr>
              <w:tab/>
            </w:r>
            <w:r w:rsidR="00905E49" w:rsidRPr="00905E49">
              <w:rPr>
                <w:rStyle w:val="af1"/>
                <w:rFonts w:ascii="Tahoma" w:hAnsi="Tahoma" w:cs="Tahoma"/>
                <w:i w:val="0"/>
                <w:iCs w:val="0"/>
                <w:sz w:val="24"/>
                <w:szCs w:val="24"/>
              </w:rPr>
              <w:t>ΑΔΑ: ΩΡ1ΤΩΨΑ-9Φ7</w:t>
            </w:r>
            <w:r w:rsidR="000E1ADA" w:rsidRPr="00905E49">
              <w:rPr>
                <w:rStyle w:val="af1"/>
                <w:rFonts w:ascii="Tahoma" w:hAnsi="Tahoma" w:cs="Tahoma"/>
                <w:i w:val="0"/>
                <w:iCs w:val="0"/>
                <w:sz w:val="24"/>
                <w:szCs w:val="24"/>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2D2F53">
            <w:pPr>
              <w:spacing w:after="200"/>
              <w:rPr>
                <w:rStyle w:val="af1"/>
                <w:rFonts w:ascii="Tahoma" w:hAnsi="Tahoma" w:cs="Tahoma"/>
                <w:b/>
                <w:i w:val="0"/>
                <w:iCs w:val="0"/>
                <w:sz w:val="22"/>
                <w:szCs w:val="22"/>
              </w:rPr>
            </w:pPr>
            <w:r w:rsidRPr="00A82940">
              <w:rPr>
                <w:rFonts w:ascii="Tahoma" w:hAnsi="Tahoma" w:cs="Tahoma"/>
                <w:sz w:val="22"/>
                <w:szCs w:val="22"/>
              </w:rPr>
              <w:t>«</w:t>
            </w:r>
            <w:r w:rsidR="007345C9" w:rsidRPr="007345C9">
              <w:rPr>
                <w:rFonts w:ascii="Tahoma" w:hAnsi="Tahoma" w:cs="Tahoma"/>
                <w:b/>
                <w:sz w:val="22"/>
                <w:szCs w:val="22"/>
              </w:rPr>
              <w:t>Έγκριση πρόσληψης προσωπικού ιδιωτικού δικαίου ορισμένου χρόνου δίμηνης διάρκειας, για τη κάλυψη δράσεων πυροπροστασίας.</w:t>
            </w:r>
            <w:r w:rsidR="002D2F53" w:rsidRPr="002D2F53">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Νταλάκας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EB3A57">
        <w:rPr>
          <w:rFonts w:ascii="Tahoma" w:hAnsi="Tahoma" w:cs="Tahoma"/>
          <w:sz w:val="22"/>
          <w:szCs w:val="22"/>
          <w:shd w:val="clear" w:color="auto" w:fill="FFFFFF"/>
        </w:rPr>
        <w:t>3</w:t>
      </w:r>
      <w:r w:rsidR="007345C9">
        <w:rPr>
          <w:rFonts w:ascii="Tahoma" w:hAnsi="Tahoma" w:cs="Tahoma"/>
          <w:sz w:val="22"/>
          <w:szCs w:val="22"/>
          <w:shd w:val="clear" w:color="auto" w:fill="FFFFFF"/>
        </w:rPr>
        <w:t>2</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7345C9" w:rsidRPr="007345C9">
        <w:rPr>
          <w:rFonts w:ascii="Tahoma" w:hAnsi="Tahoma" w:cs="Tahoma"/>
          <w:sz w:val="22"/>
          <w:szCs w:val="22"/>
        </w:rPr>
        <w:t>Έγκριση πρόσληψης προσωπικού ιδιωτικού δικαίου ορισμένου χρόνου δίμηνης διάρκειας, για τη κάλυψη δράσεων πυ</w:t>
      </w:r>
      <w:r w:rsidR="007345C9">
        <w:rPr>
          <w:rFonts w:ascii="Tahoma" w:hAnsi="Tahoma" w:cs="Tahoma"/>
          <w:sz w:val="22"/>
          <w:szCs w:val="22"/>
        </w:rPr>
        <w:t>ροπροστασίας</w:t>
      </w:r>
      <w:r w:rsidR="0082135D" w:rsidRPr="0082135D">
        <w:rPr>
          <w:rFonts w:ascii="Tahoma" w:hAnsi="Tahoma" w:cs="Tahoma"/>
          <w:sz w:val="22"/>
          <w:szCs w:val="22"/>
        </w:rPr>
        <w:t>»</w:t>
      </w:r>
      <w:r w:rsidR="00186868" w:rsidRPr="005B25CE">
        <w:rPr>
          <w:rFonts w:ascii="Tahoma" w:hAnsi="Tahoma" w:cs="Tahoma"/>
          <w:sz w:val="22"/>
          <w:szCs w:val="22"/>
        </w:rPr>
        <w:t xml:space="preserve"> </w:t>
      </w:r>
      <w:r w:rsidR="000B4739">
        <w:rPr>
          <w:rFonts w:ascii="Tahoma" w:hAnsi="Tahoma" w:cs="Tahoma"/>
          <w:sz w:val="22"/>
          <w:szCs w:val="22"/>
        </w:rPr>
        <w:t>έδωσε το λόγο στ</w:t>
      </w:r>
      <w:r w:rsidR="008336E6">
        <w:rPr>
          <w:rFonts w:ascii="Tahoma" w:hAnsi="Tahoma" w:cs="Tahoma"/>
          <w:sz w:val="22"/>
          <w:szCs w:val="22"/>
        </w:rPr>
        <w:t>ο</w:t>
      </w:r>
      <w:r w:rsidR="000B4739">
        <w:rPr>
          <w:rFonts w:ascii="Tahoma" w:hAnsi="Tahoma" w:cs="Tahoma"/>
          <w:sz w:val="22"/>
          <w:szCs w:val="22"/>
        </w:rPr>
        <w:t xml:space="preserve">ν </w:t>
      </w:r>
      <w:r w:rsidR="00EB3A57">
        <w:rPr>
          <w:rFonts w:ascii="Tahoma" w:hAnsi="Tahoma" w:cs="Tahoma"/>
          <w:sz w:val="22"/>
          <w:szCs w:val="22"/>
        </w:rPr>
        <w:t xml:space="preserve">Γενικό Γραμματέα του Δήμου κ. </w:t>
      </w:r>
      <w:proofErr w:type="spellStart"/>
      <w:r w:rsidR="00EB3A57">
        <w:rPr>
          <w:rFonts w:ascii="Tahoma" w:hAnsi="Tahoma" w:cs="Tahoma"/>
          <w:sz w:val="22"/>
          <w:szCs w:val="22"/>
        </w:rPr>
        <w:t>Σερβετά</w:t>
      </w:r>
      <w:proofErr w:type="spellEnd"/>
      <w:r w:rsidR="00D87453">
        <w:rPr>
          <w:rFonts w:ascii="Tahoma" w:hAnsi="Tahoma" w:cs="Tahoma"/>
          <w:sz w:val="22"/>
          <w:szCs w:val="22"/>
        </w:rPr>
        <w:t xml:space="preserve"> </w:t>
      </w:r>
      <w:r w:rsidR="008336E6">
        <w:rPr>
          <w:rFonts w:ascii="Tahoma" w:hAnsi="Tahoma" w:cs="Tahoma"/>
          <w:sz w:val="22"/>
          <w:szCs w:val="22"/>
        </w:rPr>
        <w:t>ο</w:t>
      </w:r>
      <w:r w:rsidR="00D87453">
        <w:rPr>
          <w:rFonts w:ascii="Tahoma" w:hAnsi="Tahoma" w:cs="Tahoma"/>
          <w:sz w:val="22"/>
          <w:szCs w:val="22"/>
        </w:rPr>
        <w:t xml:space="preserve"> οποί</w:t>
      </w:r>
      <w:r w:rsidR="008336E6">
        <w:rPr>
          <w:rFonts w:ascii="Tahoma" w:hAnsi="Tahoma" w:cs="Tahoma"/>
          <w:sz w:val="22"/>
          <w:szCs w:val="22"/>
        </w:rPr>
        <w:t>ος</w:t>
      </w:r>
      <w:r w:rsidR="00D87453">
        <w:rPr>
          <w:rFonts w:ascii="Tahoma" w:hAnsi="Tahoma" w:cs="Tahoma"/>
          <w:sz w:val="22"/>
          <w:szCs w:val="22"/>
        </w:rPr>
        <w:t xml:space="preserve"> παίρνοντας το λόγο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7345C9" w:rsidRDefault="007345C9" w:rsidP="009B64DB">
      <w:pPr>
        <w:spacing w:line="276" w:lineRule="auto"/>
        <w:jc w:val="both"/>
        <w:rPr>
          <w:rFonts w:ascii="Tahoma" w:hAnsi="Tahoma" w:cs="Tahoma"/>
          <w:sz w:val="22"/>
          <w:szCs w:val="22"/>
        </w:rPr>
      </w:pPr>
    </w:p>
    <w:p w:rsidR="007345C9" w:rsidRDefault="007345C9" w:rsidP="007345C9">
      <w:pPr>
        <w:spacing w:line="276" w:lineRule="auto"/>
        <w:jc w:val="both"/>
        <w:rPr>
          <w:rFonts w:ascii="Tahoma" w:hAnsi="Tahoma" w:cs="Tahoma"/>
          <w:sz w:val="22"/>
          <w:szCs w:val="22"/>
        </w:rPr>
      </w:pPr>
      <w:r>
        <w:rPr>
          <w:rFonts w:ascii="Tahoma" w:hAnsi="Tahoma" w:cs="Tahoma"/>
          <w:sz w:val="22"/>
          <w:szCs w:val="22"/>
        </w:rPr>
        <w:t xml:space="preserve">    </w:t>
      </w:r>
      <w:r w:rsidRPr="007345C9">
        <w:rPr>
          <w:rFonts w:ascii="Tahoma" w:hAnsi="Tahoma" w:cs="Tahoma"/>
          <w:sz w:val="22"/>
          <w:szCs w:val="22"/>
        </w:rPr>
        <w:t xml:space="preserve">Σύμφωνα με το άρθρο 206 του ν.3584/2007 κώδικα κατάστασης δημοτικών και κοινοτικών υπαλλήλων ορίζεται ότι επιτρέπεται η πρόσληψη προσωπικού οποιασδήποτε ειδικότητας με σύμβαση εργασίας ορισμένου χρόνου από τους Ο.Τ.Α για την αντιμετώπιση κατεπειγουσών εποχικών ή πρόσκαιρων αναγκών ,με σύμβαση εργασίας ορισμένου χρόνου της οποίας η διάρκεια δεν υπερβαίνει τους δύο μήνες (2) μέσα σε συνολικό διάστημα δώδεκα (12) μηνών. Ο υπολογισμός του δωδεκαμήνου γίνεται σύμφωνα με την παράγραφο 2 του άρθρου 21 του ν.2738/1999 ΦΕΚ 180 Α΄. Παράταση η σύναψη νέας σύμβασης μέσα στο ανωτέρω δωδεκάμηνο διάστημα ή μετατροπή της σύμβασης σε αορίστου χρόνου είναι αυτοδικαίως άκυρες. Υποχρέωση του φορέα που διενεργεί την πρόσληψη είναι να αποστείλει τον πίνακα των </w:t>
      </w:r>
      <w:proofErr w:type="spellStart"/>
      <w:r w:rsidRPr="007345C9">
        <w:rPr>
          <w:rFonts w:ascii="Tahoma" w:hAnsi="Tahoma" w:cs="Tahoma"/>
          <w:sz w:val="22"/>
          <w:szCs w:val="22"/>
        </w:rPr>
        <w:t>προσληπτέων</w:t>
      </w:r>
      <w:proofErr w:type="spellEnd"/>
      <w:r w:rsidRPr="007345C9">
        <w:rPr>
          <w:rFonts w:ascii="Tahoma" w:hAnsi="Tahoma" w:cs="Tahoma"/>
          <w:sz w:val="22"/>
          <w:szCs w:val="22"/>
        </w:rPr>
        <w:t xml:space="preserve"> στο Α.Σ.Ε.Π μέχρι την 31η Ιανουαρίου του επόμενου έτους. Το Α.Σ.Ε.Π διενεργεί έλεγχο για τη συνδρομή των όρων πρόσληψης της παρούσας περίπτωσης. </w:t>
      </w:r>
    </w:p>
    <w:p w:rsidR="007345C9" w:rsidRPr="007345C9" w:rsidRDefault="007345C9" w:rsidP="007345C9">
      <w:pPr>
        <w:spacing w:line="276" w:lineRule="auto"/>
        <w:jc w:val="both"/>
        <w:rPr>
          <w:rFonts w:ascii="Tahoma" w:hAnsi="Tahoma" w:cs="Tahoma"/>
          <w:sz w:val="22"/>
          <w:szCs w:val="22"/>
        </w:rPr>
      </w:pPr>
    </w:p>
    <w:p w:rsidR="007345C9" w:rsidRDefault="007345C9" w:rsidP="007345C9">
      <w:pPr>
        <w:spacing w:line="276" w:lineRule="auto"/>
        <w:jc w:val="both"/>
        <w:rPr>
          <w:rFonts w:ascii="Tahoma" w:hAnsi="Tahoma" w:cs="Tahoma"/>
          <w:sz w:val="22"/>
          <w:szCs w:val="22"/>
        </w:rPr>
      </w:pPr>
      <w:r w:rsidRPr="007345C9">
        <w:rPr>
          <w:rFonts w:ascii="Tahoma" w:hAnsi="Tahoma" w:cs="Tahoma"/>
          <w:sz w:val="22"/>
          <w:szCs w:val="22"/>
        </w:rPr>
        <w:t xml:space="preserve">Συνεπώς δεν απαιτείται η αποστολή αιτήματος από τους ΟΤΑ για προγραμματισμό προσλήψεων, για την κατηγορία των δίμηνων συμβάσεων αλλά και για την διαδικασία πρόσληψης. </w:t>
      </w:r>
    </w:p>
    <w:p w:rsidR="007345C9" w:rsidRPr="007345C9" w:rsidRDefault="007345C9" w:rsidP="007345C9">
      <w:pPr>
        <w:spacing w:line="276" w:lineRule="auto"/>
        <w:jc w:val="both"/>
        <w:rPr>
          <w:rFonts w:ascii="Tahoma" w:hAnsi="Tahoma" w:cs="Tahoma"/>
          <w:sz w:val="22"/>
          <w:szCs w:val="22"/>
        </w:rPr>
      </w:pPr>
    </w:p>
    <w:p w:rsidR="007345C9" w:rsidRDefault="007345C9" w:rsidP="007345C9">
      <w:pPr>
        <w:spacing w:line="276" w:lineRule="auto"/>
        <w:jc w:val="both"/>
        <w:rPr>
          <w:rFonts w:ascii="Tahoma" w:hAnsi="Tahoma" w:cs="Tahoma"/>
          <w:sz w:val="22"/>
          <w:szCs w:val="22"/>
        </w:rPr>
      </w:pPr>
      <w:r w:rsidRPr="007345C9">
        <w:rPr>
          <w:rFonts w:ascii="Tahoma" w:hAnsi="Tahoma" w:cs="Tahoma"/>
          <w:sz w:val="22"/>
          <w:szCs w:val="22"/>
        </w:rPr>
        <w:t>Το Δημοτικό Συμβούλιο λαμβάνει απόφαση με την οποία διαπιστώνεται η αναγκαιότητα πρόσληψης. Στην απόφαση πρέπει να αναφέρεται η αιτία πρόσληψης, ο αριθμός των θέσεων, τα απαιτούμενα προσόντα σύμφωνα με την κείμενη νομοθεσία και τον κλάδο.</w:t>
      </w:r>
    </w:p>
    <w:p w:rsidR="007345C9" w:rsidRPr="007345C9" w:rsidRDefault="007345C9" w:rsidP="007345C9">
      <w:pPr>
        <w:spacing w:line="276" w:lineRule="auto"/>
        <w:jc w:val="both"/>
        <w:rPr>
          <w:rFonts w:ascii="Tahoma" w:hAnsi="Tahoma" w:cs="Tahoma"/>
          <w:sz w:val="22"/>
          <w:szCs w:val="22"/>
        </w:rPr>
      </w:pPr>
    </w:p>
    <w:p w:rsidR="007345C9" w:rsidRDefault="007345C9" w:rsidP="007345C9">
      <w:pPr>
        <w:spacing w:line="276" w:lineRule="auto"/>
        <w:jc w:val="both"/>
        <w:rPr>
          <w:rFonts w:ascii="Tahoma" w:hAnsi="Tahoma" w:cs="Tahoma"/>
          <w:sz w:val="22"/>
          <w:szCs w:val="22"/>
        </w:rPr>
      </w:pPr>
      <w:r w:rsidRPr="007345C9">
        <w:rPr>
          <w:rFonts w:ascii="Tahoma" w:hAnsi="Tahoma" w:cs="Tahoma"/>
          <w:sz w:val="22"/>
          <w:szCs w:val="22"/>
        </w:rPr>
        <w:t xml:space="preserve">Ο Δήμος κατά την αντιπυρική περίοδο και ιδιαίτερα τους επικίνδυνους μήνες, Ιούνιο, Ιούλιο, Αύγουστο και Σεπτέμβριο, πρέπει να προβεί έγκαιρα και αποτελεσματικά σε ενέργειες που θα εξασφαλίσουν την ετοιμότητά του για την αντιπυρική προστασία. </w:t>
      </w:r>
    </w:p>
    <w:p w:rsidR="007345C9" w:rsidRPr="007345C9" w:rsidRDefault="007345C9" w:rsidP="007345C9">
      <w:pPr>
        <w:spacing w:line="276" w:lineRule="auto"/>
        <w:jc w:val="both"/>
        <w:rPr>
          <w:rFonts w:ascii="Tahoma" w:hAnsi="Tahoma" w:cs="Tahoma"/>
          <w:sz w:val="22"/>
          <w:szCs w:val="22"/>
        </w:rPr>
      </w:pPr>
    </w:p>
    <w:p w:rsidR="007345C9" w:rsidRPr="007345C9" w:rsidRDefault="007345C9" w:rsidP="007345C9">
      <w:pPr>
        <w:spacing w:line="276" w:lineRule="auto"/>
        <w:jc w:val="both"/>
        <w:rPr>
          <w:rFonts w:ascii="Tahoma" w:hAnsi="Tahoma" w:cs="Tahoma"/>
          <w:sz w:val="22"/>
          <w:szCs w:val="22"/>
        </w:rPr>
      </w:pPr>
      <w:r w:rsidRPr="007345C9">
        <w:rPr>
          <w:rFonts w:ascii="Tahoma" w:hAnsi="Tahoma" w:cs="Tahoma"/>
          <w:sz w:val="22"/>
          <w:szCs w:val="22"/>
        </w:rPr>
        <w:t>Το υπάρχον προσωπικό του Δήμου (εργάτες, και χειριστές μηχανημάτων) λόγω των πολλών συνταξιοδοτήσεων τα τελευταία έτη (που ξεπερνούν σε ποσοστό 25%), δεν επαρκεί για την κάλυψη των αναγκών αυτών,  ενώ τα καθήκοντα των μονίμων υπαλλήλων δεν επιτρέπουν τη συνεχή και καθημερινή απασχόλησή τους με τα καθήκοντα της πυροπροστασίας. Επίσης, τα προηγούμενα έτη διαπιστώθηκε ότι η ανάθεση σε μόνιμους τεχνικούς υπαλλήλους καθηκόντων πυροπροστασίας για τόσο μεγάλο διάστημα, δημιούργησε καθυστερήσεις στην αντιμετώπιση βλαβών και την επίλυση προβλημάτων καθημερινότητας.</w:t>
      </w:r>
    </w:p>
    <w:p w:rsidR="007345C9" w:rsidRPr="007345C9" w:rsidRDefault="007345C9" w:rsidP="007345C9">
      <w:pPr>
        <w:spacing w:line="276" w:lineRule="auto"/>
        <w:jc w:val="both"/>
        <w:rPr>
          <w:rFonts w:ascii="Tahoma" w:hAnsi="Tahoma" w:cs="Tahoma"/>
          <w:sz w:val="22"/>
          <w:szCs w:val="22"/>
        </w:rPr>
      </w:pPr>
    </w:p>
    <w:p w:rsidR="007345C9" w:rsidRDefault="007345C9" w:rsidP="007345C9">
      <w:pPr>
        <w:spacing w:line="276" w:lineRule="auto"/>
        <w:jc w:val="both"/>
        <w:rPr>
          <w:rFonts w:ascii="Tahoma" w:hAnsi="Tahoma" w:cs="Tahoma"/>
          <w:sz w:val="22"/>
          <w:szCs w:val="22"/>
        </w:rPr>
      </w:pPr>
      <w:r w:rsidRPr="007345C9">
        <w:rPr>
          <w:rFonts w:ascii="Tahoma" w:hAnsi="Tahoma" w:cs="Tahoma"/>
          <w:sz w:val="22"/>
          <w:szCs w:val="22"/>
        </w:rPr>
        <w:t xml:space="preserve">Ως εκ τούτου, θεωρούμε επιτακτική την ανάγκη πρόσληψης εποχικού προσωπικού με σύμβαση I.Δ.Ο.Χ διάρκειας δύο (2) μηνών για την αντιμετώπιση των κατεπειγουσών εποχικών αναγκών πυροπροστασίας του Δήμου μας, που θα απασχοληθούν στον προληπτικό καθαρισμό των κοινοχρήστων χώρων, αλσυλλίων και αποψίλωση ξηρών χόρτων και θα συνδράμουν στην καταστολή των πυρκαγιών εν τη γενέσει τους, την εύφλεκτη περίοδο του καλοκαιριού, τόσο στις δημοτικές κοινότητες όσο και στις τοπικές κοινότητες του Δήμου. </w:t>
      </w:r>
    </w:p>
    <w:p w:rsidR="007345C9" w:rsidRPr="007345C9" w:rsidRDefault="007345C9" w:rsidP="007345C9">
      <w:pPr>
        <w:spacing w:line="276" w:lineRule="auto"/>
        <w:jc w:val="both"/>
        <w:rPr>
          <w:rFonts w:ascii="Tahoma" w:hAnsi="Tahoma" w:cs="Tahoma"/>
          <w:sz w:val="22"/>
          <w:szCs w:val="22"/>
        </w:rPr>
      </w:pPr>
    </w:p>
    <w:p w:rsidR="007345C9" w:rsidRDefault="007345C9" w:rsidP="007345C9">
      <w:pPr>
        <w:spacing w:line="276" w:lineRule="auto"/>
        <w:jc w:val="both"/>
        <w:rPr>
          <w:rFonts w:ascii="Tahoma" w:hAnsi="Tahoma" w:cs="Tahoma"/>
          <w:sz w:val="22"/>
          <w:szCs w:val="22"/>
        </w:rPr>
      </w:pPr>
      <w:r w:rsidRPr="007345C9">
        <w:rPr>
          <w:rFonts w:ascii="Tahoma" w:hAnsi="Tahoma" w:cs="Tahoma"/>
          <w:sz w:val="22"/>
          <w:szCs w:val="22"/>
        </w:rPr>
        <w:t xml:space="preserve">Προτείνουμε λοιπόν, την πρόσληψη τριών (3) υπαλλήλων ειδικότητας ΥΕ  Εργατών Γενικών Καθηκόντων, και ένα (1) άτομο ΔΕ Χειριστή Μηχανημάτων Έργου (τρακτέρ), δίμηνης χρονικής διάρκειας για την κάλυψη δράσεων πυροπροστασίας. </w:t>
      </w:r>
    </w:p>
    <w:p w:rsidR="007345C9" w:rsidRPr="007345C9" w:rsidRDefault="007345C9" w:rsidP="007345C9">
      <w:pPr>
        <w:spacing w:line="276" w:lineRule="auto"/>
        <w:jc w:val="both"/>
        <w:rPr>
          <w:rFonts w:ascii="Tahoma" w:hAnsi="Tahoma" w:cs="Tahoma"/>
          <w:sz w:val="22"/>
          <w:szCs w:val="22"/>
        </w:rPr>
      </w:pPr>
    </w:p>
    <w:p w:rsidR="007345C9" w:rsidRPr="007345C9" w:rsidRDefault="007345C9" w:rsidP="007345C9">
      <w:pPr>
        <w:spacing w:line="276" w:lineRule="auto"/>
        <w:jc w:val="both"/>
        <w:rPr>
          <w:rFonts w:ascii="Tahoma" w:hAnsi="Tahoma" w:cs="Tahoma"/>
          <w:sz w:val="22"/>
          <w:szCs w:val="22"/>
        </w:rPr>
      </w:pPr>
      <w:r w:rsidRPr="007345C9">
        <w:rPr>
          <w:rFonts w:ascii="Tahoma" w:hAnsi="Tahoma" w:cs="Tahoma"/>
          <w:sz w:val="22"/>
          <w:szCs w:val="22"/>
        </w:rPr>
        <w:t xml:space="preserve">Τονίζεται ότι, στον προϋπολογισμό του 2018, από την κατανομή των 51.000 € που έλαβε ο Δήμος για κάλυψη δράσεων πυροπροστασίας από το Υπουργείο Εσωτερικών, έχουν προβλεφθεί  </w:t>
      </w:r>
      <w:r w:rsidRPr="007345C9">
        <w:rPr>
          <w:rFonts w:ascii="Tahoma" w:hAnsi="Tahoma" w:cs="Tahoma"/>
          <w:sz w:val="22"/>
          <w:szCs w:val="22"/>
        </w:rPr>
        <w:lastRenderedPageBreak/>
        <w:t>πιστώσεις για την πρόσληψη προσωπικού για την κάλυψη δράσεων πυροπροστασίας στους ΚΑ:70-6041 και ΚΑ: 70.6054, συνολικού ύψους 9.500,00 €.</w:t>
      </w:r>
    </w:p>
    <w:p w:rsidR="007345C9" w:rsidRPr="007345C9" w:rsidRDefault="007345C9" w:rsidP="007345C9">
      <w:pPr>
        <w:spacing w:line="276" w:lineRule="auto"/>
        <w:jc w:val="both"/>
        <w:rPr>
          <w:rFonts w:ascii="Tahoma" w:hAnsi="Tahoma" w:cs="Tahoma"/>
          <w:sz w:val="22"/>
          <w:szCs w:val="22"/>
        </w:rPr>
      </w:pPr>
      <w:r w:rsidRPr="007345C9">
        <w:rPr>
          <w:rFonts w:ascii="Tahoma" w:hAnsi="Tahoma" w:cs="Tahoma"/>
          <w:sz w:val="22"/>
          <w:szCs w:val="22"/>
        </w:rPr>
        <w:t>Καλείται το Δημοτικό Συμβούλιο όπως αποφασίσει σχετικά.</w:t>
      </w:r>
    </w:p>
    <w:p w:rsidR="00EB3A57" w:rsidRPr="00EB3A57" w:rsidRDefault="00EB3A57" w:rsidP="00EB3A57">
      <w:pPr>
        <w:spacing w:line="276" w:lineRule="auto"/>
        <w:jc w:val="both"/>
        <w:rPr>
          <w:rFonts w:ascii="Tahoma" w:hAnsi="Tahoma" w:cs="Tahoma"/>
          <w:sz w:val="22"/>
          <w:szCs w:val="22"/>
        </w:rPr>
      </w:pPr>
    </w:p>
    <w:p w:rsidR="00186868" w:rsidRPr="00D06CB2" w:rsidRDefault="007F166B" w:rsidP="00D87453">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 xml:space="preserve">Στη συνέχεια ο Πρόεδρος έδωσε το λόγο στους </w:t>
      </w:r>
      <w:proofErr w:type="spellStart"/>
      <w:r w:rsidR="00186868" w:rsidRPr="00D06CB2">
        <w:rPr>
          <w:rFonts w:ascii="Tahoma" w:hAnsi="Tahoma" w:cs="Tahoma"/>
          <w:sz w:val="22"/>
          <w:szCs w:val="22"/>
        </w:rPr>
        <w:t>κ.κ</w:t>
      </w:r>
      <w:proofErr w:type="spellEnd"/>
      <w:r w:rsidR="00186868"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r w:rsidR="007D0A40">
        <w:rPr>
          <w:rFonts w:cs="Tahoma"/>
        </w:rPr>
        <w:t xml:space="preserve"> </w:t>
      </w:r>
    </w:p>
    <w:p w:rsidR="007D0A40" w:rsidRDefault="007D0A40" w:rsidP="00637658">
      <w:pPr>
        <w:pStyle w:val="Bullets"/>
        <w:numPr>
          <w:ilvl w:val="0"/>
          <w:numId w:val="0"/>
        </w:numPr>
        <w:spacing w:line="276" w:lineRule="auto"/>
        <w:ind w:firstLine="360"/>
        <w:jc w:val="both"/>
        <w:rPr>
          <w:rFonts w:cs="Tahoma"/>
          <w:b/>
        </w:rPr>
      </w:pP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9B64DB" w:rsidRPr="0014077F">
        <w:rPr>
          <w:rFonts w:cs="Tahoma"/>
          <w:b/>
        </w:rPr>
        <w:t xml:space="preserve">ΑΠΟΦΑΣΙΖΕI </w:t>
      </w:r>
      <w:r w:rsidR="00EB3A57">
        <w:rPr>
          <w:rFonts w:cs="Tahoma"/>
          <w:b/>
        </w:rPr>
        <w:t>ΟΜΟΦΩΝΑ</w:t>
      </w:r>
    </w:p>
    <w:p w:rsidR="007345C9" w:rsidRDefault="009B64DB" w:rsidP="007345C9">
      <w:pPr>
        <w:spacing w:line="276" w:lineRule="auto"/>
        <w:jc w:val="both"/>
        <w:rPr>
          <w:rFonts w:ascii="Tahoma" w:hAnsi="Tahoma" w:cs="Tahoma"/>
          <w:sz w:val="22"/>
          <w:szCs w:val="22"/>
        </w:rPr>
      </w:pPr>
      <w:r w:rsidRPr="00D34D10">
        <w:rPr>
          <w:rFonts w:ascii="Tahoma" w:hAnsi="Tahoma" w:cs="Tahoma"/>
          <w:sz w:val="22"/>
          <w:szCs w:val="22"/>
        </w:rPr>
        <w:t>Α.</w:t>
      </w:r>
      <w:r w:rsidR="00637658" w:rsidRPr="00D34D10">
        <w:rPr>
          <w:rFonts w:ascii="Tahoma" w:hAnsi="Tahoma" w:cs="Tahoma"/>
          <w:sz w:val="22"/>
          <w:szCs w:val="22"/>
        </w:rPr>
        <w:t xml:space="preserve"> </w:t>
      </w:r>
      <w:r w:rsidR="00EB3A57" w:rsidRPr="00EB3A57">
        <w:rPr>
          <w:rFonts w:ascii="Tahoma" w:hAnsi="Tahoma" w:cs="Tahoma"/>
          <w:sz w:val="22"/>
          <w:szCs w:val="22"/>
        </w:rPr>
        <w:t xml:space="preserve">Την </w:t>
      </w:r>
      <w:r w:rsidR="007345C9" w:rsidRPr="007345C9">
        <w:rPr>
          <w:rFonts w:ascii="Tahoma" w:hAnsi="Tahoma" w:cs="Tahoma"/>
          <w:sz w:val="22"/>
          <w:szCs w:val="22"/>
        </w:rPr>
        <w:t>πρόσληψη τριών (3) υπαλλήλων ειδικότητας ΥΕ  Εργατών Γενικών Καθηκόντων, και ένα (1) άτομο ΔΕ Χειριστή Μηχανημάτων Έργου (τρακτέρ), δίμηνης χρονικής διάρκειας για την κάλυψη δράσεων πυροπροστασίας</w:t>
      </w:r>
      <w:r w:rsidR="005C7E97">
        <w:rPr>
          <w:rFonts w:ascii="Tahoma" w:hAnsi="Tahoma" w:cs="Tahoma"/>
          <w:sz w:val="22"/>
          <w:szCs w:val="22"/>
        </w:rPr>
        <w:t>, σύμφωνα με το αιτιολογικό που αναπτύχθηκε στο εισηγητικό μέρος της παρούσας</w:t>
      </w:r>
      <w:r w:rsidR="007345C9" w:rsidRPr="007345C9">
        <w:rPr>
          <w:rFonts w:ascii="Tahoma" w:hAnsi="Tahoma" w:cs="Tahoma"/>
          <w:sz w:val="22"/>
          <w:szCs w:val="22"/>
        </w:rPr>
        <w:t xml:space="preserve">. </w:t>
      </w:r>
    </w:p>
    <w:p w:rsidR="007345C9" w:rsidRPr="007345C9" w:rsidRDefault="007345C9" w:rsidP="007345C9">
      <w:pPr>
        <w:spacing w:line="276" w:lineRule="auto"/>
        <w:jc w:val="both"/>
        <w:rPr>
          <w:rFonts w:ascii="Tahoma" w:hAnsi="Tahoma" w:cs="Tahoma"/>
          <w:sz w:val="22"/>
          <w:szCs w:val="22"/>
        </w:rPr>
      </w:pPr>
    </w:p>
    <w:p w:rsidR="007345C9" w:rsidRPr="007345C9" w:rsidRDefault="007345C9" w:rsidP="007345C9">
      <w:pPr>
        <w:spacing w:line="276" w:lineRule="auto"/>
        <w:jc w:val="both"/>
        <w:rPr>
          <w:rFonts w:ascii="Tahoma" w:hAnsi="Tahoma" w:cs="Tahoma"/>
          <w:sz w:val="22"/>
          <w:szCs w:val="22"/>
        </w:rPr>
      </w:pPr>
      <w:r w:rsidRPr="007345C9">
        <w:rPr>
          <w:rFonts w:ascii="Tahoma" w:hAnsi="Tahoma" w:cs="Tahoma"/>
          <w:sz w:val="22"/>
          <w:szCs w:val="22"/>
        </w:rPr>
        <w:t>Τονίζεται ότι, στον προϋπολογισμό του 2018, από την κατανομή των 51.000 € που έλαβε ο Δήμος για κάλυψη δράσεων πυροπροστασίας από το Υπουργείο Εσωτερικών, έχουν προβλεφθεί  πιστώσεις για την πρόσληψη προσωπικού για την κάλυψη δράσεων πυροπροστασίας στους ΚΑ:70-6041 και ΚΑ: 70.6054, συνολικού ύψους 9.500,00 €.</w:t>
      </w:r>
    </w:p>
    <w:p w:rsidR="0082135D" w:rsidRDefault="0082135D" w:rsidP="007345C9">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AC0D45">
        <w:rPr>
          <w:rFonts w:ascii="Tahoma" w:hAnsi="Tahoma" w:cs="Tahoma"/>
          <w:b/>
          <w:sz w:val="22"/>
          <w:szCs w:val="22"/>
        </w:rPr>
        <w:t>268</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4ED" w:rsidRDefault="001024ED">
      <w:r>
        <w:separator/>
      </w:r>
    </w:p>
  </w:endnote>
  <w:endnote w:type="continuationSeparator" w:id="0">
    <w:p w:rsidR="001024ED" w:rsidRDefault="001024E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66137E"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66137E">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561B0">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4ED" w:rsidRDefault="001024ED">
      <w:r>
        <w:separator/>
      </w:r>
    </w:p>
  </w:footnote>
  <w:footnote w:type="continuationSeparator" w:id="0">
    <w:p w:rsidR="001024ED" w:rsidRDefault="001024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num>
  <w:num w:numId="6">
    <w:abstractNumId w:val="3"/>
  </w:num>
  <w:num w:numId="7">
    <w:abstractNumId w:val="12"/>
  </w:num>
  <w:num w:numId="8">
    <w:abstractNumId w:val="9"/>
  </w:num>
  <w:num w:numId="9">
    <w:abstractNumId w:val="4"/>
  </w:num>
  <w:num w:numId="10">
    <w:abstractNumId w:val="8"/>
  </w:num>
  <w:num w:numId="11">
    <w:abstractNumId w:val="10"/>
  </w:num>
  <w:num w:numId="12">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9353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24ED"/>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1B0"/>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37E"/>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E4E812-037D-4F86-9E46-9D132C863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1140</Words>
  <Characters>6161</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2018-05-04T11:51:00Z</cp:lastPrinted>
  <dcterms:created xsi:type="dcterms:W3CDTF">2018-05-04T11:39:00Z</dcterms:created>
  <dcterms:modified xsi:type="dcterms:W3CDTF">2018-07-05T06:30:00Z</dcterms:modified>
</cp:coreProperties>
</file>