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1426FB">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1426FB">
              <w:rPr>
                <w:rFonts w:ascii="Tahoma" w:hAnsi="Tahoma" w:cs="Tahoma"/>
                <w:b/>
                <w:bCs/>
                <w:sz w:val="22"/>
                <w:szCs w:val="22"/>
              </w:rPr>
              <w:t>300</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430A54" w:rsidRDefault="00B83D73" w:rsidP="00430A54">
            <w:pPr>
              <w:pStyle w:val="aff"/>
              <w:rPr>
                <w:rStyle w:val="af1"/>
                <w:rFonts w:ascii="Tahoma" w:hAnsi="Tahoma" w:cs="Tahoma"/>
                <w:i w:val="0"/>
                <w:sz w:val="22"/>
                <w:szCs w:val="22"/>
              </w:rPr>
            </w:pPr>
            <w:r w:rsidRPr="00430A54">
              <w:rPr>
                <w:rStyle w:val="af1"/>
                <w:rFonts w:ascii="Tahoma" w:hAnsi="Tahoma" w:cs="Tahoma"/>
                <w:i w:val="0"/>
                <w:sz w:val="22"/>
                <w:szCs w:val="22"/>
              </w:rPr>
              <w:t>ΑΔΑ: Ω303ΩΨΑ-ΞΒΙ</w:t>
            </w:r>
            <w:r w:rsidR="0057073F" w:rsidRPr="00430A54">
              <w:rPr>
                <w:rStyle w:val="af1"/>
                <w:rFonts w:ascii="Tahoma" w:hAnsi="Tahoma" w:cs="Tahoma"/>
                <w:i w:val="0"/>
                <w:sz w:val="22"/>
                <w:szCs w:val="22"/>
              </w:rPr>
              <w:tab/>
            </w:r>
            <w:r w:rsidR="000E1ADA" w:rsidRPr="00430A54">
              <w:rPr>
                <w:rStyle w:val="af1"/>
                <w:rFonts w:ascii="Tahoma" w:hAnsi="Tahoma" w:cs="Tahoma"/>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014468">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1426FB" w:rsidRPr="001426FB">
              <w:rPr>
                <w:rFonts w:ascii="Tahoma" w:hAnsi="Tahoma" w:cs="Tahoma"/>
                <w:b/>
                <w:sz w:val="20"/>
                <w:szCs w:val="20"/>
              </w:rPr>
              <w:t xml:space="preserve">Συμπλήρωση της </w:t>
            </w:r>
            <w:proofErr w:type="spellStart"/>
            <w:r w:rsidR="001426FB" w:rsidRPr="001426FB">
              <w:rPr>
                <w:rFonts w:ascii="Tahoma" w:hAnsi="Tahoma" w:cs="Tahoma"/>
                <w:b/>
                <w:sz w:val="20"/>
                <w:szCs w:val="20"/>
              </w:rPr>
              <w:t>αριθμ</w:t>
            </w:r>
            <w:proofErr w:type="spellEnd"/>
            <w:r w:rsidR="001426FB" w:rsidRPr="001426FB">
              <w:rPr>
                <w:rFonts w:ascii="Tahoma" w:hAnsi="Tahoma" w:cs="Tahoma"/>
                <w:b/>
                <w:sz w:val="20"/>
                <w:szCs w:val="20"/>
              </w:rPr>
              <w:t>. 212/2018 απόφασης του Δημοτικού Συμβουλίου</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283348" w:rsidRDefault="00543922"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C93D26">
        <w:rPr>
          <w:rFonts w:ascii="Tahoma" w:hAnsi="Tahoma" w:cs="Tahoma"/>
          <w:sz w:val="22"/>
          <w:szCs w:val="22"/>
        </w:rPr>
        <w:t>εικοστή τρίτη (23</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sidR="00C93D26">
        <w:rPr>
          <w:rFonts w:ascii="Tahoma" w:hAnsi="Tahoma" w:cs="Tahoma"/>
          <w:sz w:val="22"/>
          <w:szCs w:val="22"/>
        </w:rPr>
        <w:t>19</w:t>
      </w:r>
      <w:r w:rsidRPr="007F6ED1">
        <w:rPr>
          <w:rFonts w:ascii="Tahoma" w:hAnsi="Tahoma" w:cs="Tahoma"/>
          <w:sz w:val="22"/>
          <w:szCs w:val="22"/>
        </w:rPr>
        <w:t>.</w:t>
      </w:r>
      <w:r w:rsidR="00C93D26">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93D26" w:rsidRPr="00C93D26">
        <w:rPr>
          <w:rFonts w:ascii="Tahoma" w:hAnsi="Tahoma" w:cs="Tahoma"/>
          <w:sz w:val="22"/>
          <w:szCs w:val="22"/>
        </w:rPr>
        <w:t>11749/18-5-2018</w:t>
      </w:r>
      <w:r w:rsidR="00C93D26">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Νταλάκας</w:t>
            </w:r>
            <w:proofErr w:type="spellEnd"/>
            <w:r w:rsidRPr="00210FFA">
              <w:rPr>
                <w:rFonts w:ascii="Tahoma" w:hAnsi="Tahoma" w:cs="Tahoma"/>
                <w:sz w:val="22"/>
                <w:szCs w:val="22"/>
              </w:rPr>
              <w:t xml:space="preserve">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C93D26" w:rsidRDefault="00C93D26" w:rsidP="00C93D26">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Pr="00D85624">
              <w:rPr>
                <w:rFonts w:ascii="Tahoma" w:hAnsi="Tahoma" w:cs="Tahoma"/>
                <w:sz w:val="22"/>
                <w:szCs w:val="22"/>
              </w:rPr>
              <w:t xml:space="preserve"> </w:t>
            </w:r>
          </w:p>
          <w:p w:rsidR="00DF6682" w:rsidRPr="00605A63" w:rsidRDefault="00DF6682" w:rsidP="00C93D26">
            <w:pPr>
              <w:pStyle w:val="ab"/>
              <w:jc w:val="both"/>
              <w:rPr>
                <w:rFonts w:ascii="Tahoma" w:hAnsi="Tahoma" w:cs="Tahoma"/>
                <w:sz w:val="22"/>
                <w:szCs w:val="22"/>
              </w:rPr>
            </w:pPr>
          </w:p>
        </w:tc>
        <w:tc>
          <w:tcPr>
            <w:tcW w:w="4698" w:type="dxa"/>
            <w:hideMark/>
          </w:tcPr>
          <w:p w:rsidR="00C93D26" w:rsidRDefault="00C93D26" w:rsidP="00C93D2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93D26" w:rsidRDefault="00C93D26" w:rsidP="00C93D2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r w:rsidR="00C93D26" w:rsidRPr="005E0494">
              <w:rPr>
                <w:rFonts w:ascii="Tahoma" w:hAnsi="Tahoma" w:cs="Tahoma"/>
                <w:sz w:val="22"/>
                <w:szCs w:val="22"/>
              </w:rPr>
              <w:t>Βικτωρία</w:t>
            </w:r>
          </w:p>
          <w:p w:rsidR="00C31676" w:rsidRPr="00C93D26" w:rsidRDefault="00C31676" w:rsidP="00C93D26">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Βλάρας</w:t>
            </w:r>
            <w:proofErr w:type="spellEnd"/>
            <w:r w:rsidRPr="00210FFA">
              <w:rPr>
                <w:rFonts w:ascii="Tahoma" w:hAnsi="Tahoma" w:cs="Tahoma"/>
                <w:sz w:val="22"/>
                <w:szCs w:val="22"/>
              </w:rPr>
              <w:t xml:space="preserve"> </w:t>
            </w:r>
            <w:r w:rsidR="00C93D26" w:rsidRPr="00210FFA">
              <w:rPr>
                <w:rFonts w:ascii="Tahoma" w:hAnsi="Tahoma" w:cs="Tahoma"/>
                <w:sz w:val="22"/>
                <w:szCs w:val="22"/>
              </w:rPr>
              <w:t xml:space="preserve">Γρηγόριος </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C93D26" w:rsidRPr="003F1E39" w:rsidRDefault="00C93D26"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C93D26" w:rsidRDefault="00C93D26" w:rsidP="007E5C5E">
      <w:pPr>
        <w:spacing w:line="276" w:lineRule="auto"/>
        <w:jc w:val="both"/>
        <w:rPr>
          <w:rFonts w:ascii="Tahoma" w:hAnsi="Tahoma" w:cs="Tahoma"/>
          <w:sz w:val="22"/>
          <w:szCs w:val="22"/>
        </w:rPr>
      </w:pPr>
    </w:p>
    <w:p w:rsidR="00C93D26" w:rsidRDefault="00C93D26"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r w:rsidR="00B66D6A">
        <w:rPr>
          <w:rFonts w:ascii="Tahoma" w:hAnsi="Tahoma" w:cs="Tahoma"/>
          <w:sz w:val="22"/>
          <w:szCs w:val="22"/>
        </w:rPr>
        <w:t>Βίγλας</w:t>
      </w:r>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sidR="00014468">
        <w:rPr>
          <w:rFonts w:ascii="Tahoma" w:hAnsi="Tahoma" w:cs="Tahoma"/>
          <w:sz w:val="22"/>
          <w:szCs w:val="22"/>
        </w:rPr>
        <w:t>.</w:t>
      </w:r>
    </w:p>
    <w:p w:rsidR="00C93D26" w:rsidRPr="00D85624" w:rsidRDefault="00C93D26"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w:t>
      </w:r>
      <w:r w:rsidR="000A6A89">
        <w:rPr>
          <w:rFonts w:ascii="Tahoma" w:hAnsi="Tahoma" w:cs="Tahoma"/>
          <w:sz w:val="22"/>
          <w:szCs w:val="22"/>
        </w:rPr>
        <w:t>δεκατεσσάρων</w:t>
      </w:r>
      <w:r w:rsidR="00B66D6A">
        <w:rPr>
          <w:rFonts w:ascii="Tahoma" w:hAnsi="Tahoma" w:cs="Tahoma"/>
          <w:sz w:val="22"/>
          <w:szCs w:val="22"/>
        </w:rPr>
        <w:t xml:space="preserve"> </w:t>
      </w:r>
      <w:r w:rsidRPr="00D85624">
        <w:rPr>
          <w:rFonts w:ascii="Tahoma" w:hAnsi="Tahoma" w:cs="Tahoma"/>
          <w:sz w:val="22"/>
          <w:szCs w:val="22"/>
        </w:rPr>
        <w:t>(</w:t>
      </w:r>
      <w:r w:rsidR="00B66D6A">
        <w:rPr>
          <w:rFonts w:ascii="Tahoma" w:hAnsi="Tahoma" w:cs="Tahoma"/>
          <w:sz w:val="22"/>
          <w:szCs w:val="22"/>
        </w:rPr>
        <w:t>1</w:t>
      </w:r>
      <w:r w:rsidR="000A6A89">
        <w:rPr>
          <w:rFonts w:ascii="Tahoma" w:hAnsi="Tahoma" w:cs="Tahoma"/>
          <w:sz w:val="22"/>
          <w:szCs w:val="22"/>
        </w:rPr>
        <w:t>4</w:t>
      </w:r>
      <w:r w:rsidR="00B66D6A">
        <w:rPr>
          <w:rFonts w:ascii="Tahoma" w:hAnsi="Tahoma" w:cs="Tahoma"/>
          <w:sz w:val="22"/>
          <w:szCs w:val="22"/>
        </w:rPr>
        <w:t xml:space="preserve">) έκτακτων θεμάτων, τα οποία συζητήθηκαν μετά την συζήτηση των τακτικών </w:t>
      </w:r>
      <w:r w:rsidR="000A6A89">
        <w:rPr>
          <w:rFonts w:ascii="Tahoma" w:hAnsi="Tahoma" w:cs="Tahoma"/>
          <w:sz w:val="22"/>
          <w:szCs w:val="22"/>
        </w:rPr>
        <w:t>θεμάτων.</w:t>
      </w:r>
    </w:p>
    <w:p w:rsidR="00C93D26" w:rsidRPr="005C42A7" w:rsidRDefault="00B66D6A"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00C93D26" w:rsidRPr="00D85624">
        <w:rPr>
          <w:rFonts w:ascii="Tahoma" w:hAnsi="Tahoma" w:cs="Tahoma"/>
          <w:sz w:val="22"/>
          <w:szCs w:val="22"/>
        </w:rPr>
        <w:t>αποχώρησ</w:t>
      </w:r>
      <w:r>
        <w:rPr>
          <w:rFonts w:ascii="Tahoma" w:hAnsi="Tahoma" w:cs="Tahoma"/>
          <w:sz w:val="22"/>
          <w:szCs w:val="22"/>
        </w:rPr>
        <w:t>ε</w:t>
      </w:r>
      <w:r w:rsidR="00C93D26" w:rsidRPr="00D85624">
        <w:rPr>
          <w:rFonts w:ascii="Tahoma" w:hAnsi="Tahoma" w:cs="Tahoma"/>
          <w:sz w:val="22"/>
          <w:szCs w:val="22"/>
        </w:rPr>
        <w:t xml:space="preserve"> μετά την συζήτηση του </w:t>
      </w:r>
      <w:r>
        <w:rPr>
          <w:rFonts w:ascii="Tahoma" w:hAnsi="Tahoma" w:cs="Tahoma"/>
          <w:sz w:val="22"/>
          <w:szCs w:val="22"/>
        </w:rPr>
        <w:t>7</w:t>
      </w:r>
      <w:r w:rsidR="00C93D26" w:rsidRPr="00D85624">
        <w:rPr>
          <w:rFonts w:ascii="Tahoma" w:hAnsi="Tahoma" w:cs="Tahoma"/>
          <w:sz w:val="22"/>
          <w:szCs w:val="22"/>
          <w:vertAlign w:val="superscript"/>
        </w:rPr>
        <w:t>ου</w:t>
      </w:r>
      <w:r w:rsidR="00C93D26"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834BD2" w:rsidRDefault="00834BD2" w:rsidP="007E5C5E">
      <w:pPr>
        <w:shd w:val="clear" w:color="auto" w:fill="FFFFFF"/>
        <w:tabs>
          <w:tab w:val="left" w:pos="8640"/>
          <w:tab w:val="left" w:pos="9000"/>
        </w:tabs>
        <w:spacing w:line="276" w:lineRule="auto"/>
        <w:jc w:val="both"/>
        <w:rPr>
          <w:rFonts w:ascii="Tahoma" w:hAnsi="Tahoma" w:cs="Tahoma"/>
          <w:sz w:val="22"/>
          <w:szCs w:val="22"/>
        </w:rPr>
      </w:pPr>
    </w:p>
    <w:p w:rsidR="00C93D26" w:rsidRDefault="00C93D26"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1426FB" w:rsidRDefault="00D129B9" w:rsidP="001426FB">
      <w:pPr>
        <w:spacing w:line="276" w:lineRule="auto"/>
        <w:jc w:val="both"/>
        <w:rPr>
          <w:rStyle w:val="Chara"/>
          <w:rFonts w:ascii="Tahoma" w:hAnsi="Tahoma" w:cs="Tahoma"/>
          <w:szCs w:val="22"/>
        </w:rPr>
      </w:pPr>
      <w:r w:rsidRPr="0039364C">
        <w:rPr>
          <w:rFonts w:ascii="Tahoma" w:hAnsi="Tahoma" w:cs="Tahoma"/>
          <w:sz w:val="22"/>
          <w:szCs w:val="22"/>
          <w:shd w:val="clear" w:color="auto" w:fill="FFFFFF"/>
        </w:rPr>
        <w:lastRenderedPageBreak/>
        <w:t xml:space="preserve">Ο </w:t>
      </w:r>
      <w:r w:rsidRPr="00C101F2">
        <w:rPr>
          <w:rFonts w:ascii="Tahoma" w:hAnsi="Tahoma" w:cs="Tahoma"/>
          <w:sz w:val="22"/>
          <w:szCs w:val="22"/>
          <w:shd w:val="clear" w:color="auto" w:fill="FFFFFF"/>
        </w:rPr>
        <w:t xml:space="preserve">Πρόεδρος κήρυξε την έναρξη της συνεδρίασης και εισηγούμενος το </w:t>
      </w:r>
      <w:r w:rsidRPr="00C101F2">
        <w:rPr>
          <w:rFonts w:ascii="Tahoma" w:hAnsi="Tahoma" w:cs="Tahoma"/>
          <w:sz w:val="22"/>
          <w:szCs w:val="22"/>
        </w:rPr>
        <w:t>ο</w:t>
      </w:r>
      <w:r w:rsidRPr="00C101F2">
        <w:rPr>
          <w:rFonts w:ascii="Tahoma" w:hAnsi="Tahoma" w:cs="Tahoma"/>
          <w:sz w:val="22"/>
          <w:szCs w:val="22"/>
          <w:shd w:val="clear" w:color="auto" w:fill="FFFFFF"/>
        </w:rPr>
        <w:t xml:space="preserve"> </w:t>
      </w:r>
      <w:r w:rsidR="001426FB">
        <w:rPr>
          <w:rFonts w:ascii="Tahoma" w:hAnsi="Tahoma" w:cs="Tahoma"/>
          <w:sz w:val="22"/>
          <w:szCs w:val="22"/>
          <w:shd w:val="clear" w:color="auto" w:fill="FFFFFF"/>
        </w:rPr>
        <w:t>7</w:t>
      </w:r>
      <w:r w:rsidRPr="00C101F2">
        <w:rPr>
          <w:rFonts w:ascii="Tahoma" w:hAnsi="Tahoma" w:cs="Tahoma"/>
          <w:sz w:val="22"/>
          <w:szCs w:val="22"/>
          <w:shd w:val="clear" w:color="auto" w:fill="FFFFFF"/>
          <w:vertAlign w:val="superscript"/>
        </w:rPr>
        <w:t>ο</w:t>
      </w:r>
      <w:r w:rsidRPr="00C101F2">
        <w:rPr>
          <w:rFonts w:ascii="Tahoma" w:hAnsi="Tahoma" w:cs="Tahoma"/>
          <w:sz w:val="22"/>
          <w:szCs w:val="22"/>
          <w:shd w:val="clear" w:color="auto" w:fill="FFFFFF"/>
        </w:rPr>
        <w:t xml:space="preserve">  έκτακτο  θέμα της ημερήσιας διάταξης «</w:t>
      </w:r>
      <w:r w:rsidR="001426FB" w:rsidRPr="001426FB">
        <w:rPr>
          <w:rFonts w:ascii="Tahoma" w:hAnsi="Tahoma" w:cs="Tahoma"/>
          <w:sz w:val="22"/>
          <w:szCs w:val="22"/>
        </w:rPr>
        <w:t xml:space="preserve">Συμπλήρωση της </w:t>
      </w:r>
      <w:proofErr w:type="spellStart"/>
      <w:r w:rsidR="001426FB" w:rsidRPr="001426FB">
        <w:rPr>
          <w:rFonts w:ascii="Tahoma" w:hAnsi="Tahoma" w:cs="Tahoma"/>
          <w:sz w:val="22"/>
          <w:szCs w:val="22"/>
        </w:rPr>
        <w:t>αριθμ</w:t>
      </w:r>
      <w:proofErr w:type="spellEnd"/>
      <w:r w:rsidR="001426FB" w:rsidRPr="001426FB">
        <w:rPr>
          <w:rFonts w:ascii="Tahoma" w:hAnsi="Tahoma" w:cs="Tahoma"/>
          <w:sz w:val="22"/>
          <w:szCs w:val="22"/>
        </w:rPr>
        <w:t>. 212/2018 απόφασης του Δημοτικού Συμβουλίου</w:t>
      </w:r>
      <w:r w:rsidRPr="00C101F2">
        <w:rPr>
          <w:rFonts w:ascii="Tahoma" w:hAnsi="Tahoma" w:cs="Tahoma"/>
          <w:sz w:val="22"/>
          <w:szCs w:val="22"/>
        </w:rPr>
        <w:t xml:space="preserve">»  </w:t>
      </w:r>
      <w:r w:rsidR="001426FB" w:rsidRPr="003568F9">
        <w:rPr>
          <w:rStyle w:val="Chara"/>
          <w:rFonts w:ascii="Tahoma" w:hAnsi="Tahoma" w:cs="Tahoma"/>
          <w:szCs w:val="22"/>
        </w:rPr>
        <w:t xml:space="preserve">έδωσε το λόγο στον αρμόδιο αντιδήμαρχο  κ. </w:t>
      </w:r>
      <w:proofErr w:type="spellStart"/>
      <w:r w:rsidR="001426FB" w:rsidRPr="003568F9">
        <w:rPr>
          <w:rStyle w:val="Chara"/>
          <w:rFonts w:ascii="Tahoma" w:hAnsi="Tahoma" w:cs="Tahoma"/>
          <w:szCs w:val="22"/>
        </w:rPr>
        <w:t>Σιαφάκα</w:t>
      </w:r>
      <w:proofErr w:type="spellEnd"/>
      <w:r w:rsidR="001426FB" w:rsidRPr="003568F9">
        <w:rPr>
          <w:rStyle w:val="Chara"/>
          <w:rFonts w:ascii="Tahoma" w:hAnsi="Tahoma" w:cs="Tahoma"/>
          <w:szCs w:val="22"/>
        </w:rPr>
        <w:t xml:space="preserve">  </w:t>
      </w:r>
      <w:r w:rsidR="001426FB">
        <w:rPr>
          <w:rStyle w:val="Chara"/>
          <w:rFonts w:ascii="Tahoma" w:hAnsi="Tahoma" w:cs="Tahoma"/>
          <w:szCs w:val="22"/>
        </w:rPr>
        <w:t>ο οποίος παίρνοντας το λόγο έθεσε υπόψη του Συμβουλίου τα εξής:</w:t>
      </w:r>
    </w:p>
    <w:p w:rsidR="001426FB" w:rsidRPr="00B337D5" w:rsidRDefault="001426FB" w:rsidP="001426FB">
      <w:pPr>
        <w:pStyle w:val="af4"/>
        <w:spacing w:line="276" w:lineRule="auto"/>
        <w:jc w:val="both"/>
        <w:rPr>
          <w:rFonts w:ascii="Tahoma" w:hAnsi="Tahoma" w:cs="Tahoma"/>
          <w:szCs w:val="22"/>
        </w:rPr>
      </w:pPr>
      <w:r w:rsidRPr="00B337D5">
        <w:rPr>
          <w:rFonts w:ascii="Tahoma" w:hAnsi="Tahoma" w:cs="Tahoma"/>
          <w:szCs w:val="22"/>
        </w:rPr>
        <w:t>Με την αριθ. 212/2018 απόφαση του Δημοτικού Συμβουλίου αποφασίσθηκε η λύση και εκκαθάριση της αμιγούς Δημοτικής επιχείρησης του πρώην Δήμου Αμβρακικού με την επωνυμία «Αναπτυξιακή Επιχείρηση Δήμου Αμβρακικού».</w:t>
      </w:r>
    </w:p>
    <w:p w:rsidR="001426FB" w:rsidRPr="00B337D5" w:rsidRDefault="001426FB" w:rsidP="001426FB">
      <w:pPr>
        <w:pStyle w:val="af4"/>
        <w:spacing w:line="276" w:lineRule="auto"/>
        <w:jc w:val="both"/>
        <w:rPr>
          <w:rFonts w:ascii="Tahoma" w:hAnsi="Tahoma" w:cs="Tahoma"/>
          <w:szCs w:val="22"/>
        </w:rPr>
      </w:pPr>
      <w:r w:rsidRPr="00B337D5">
        <w:rPr>
          <w:rFonts w:ascii="Tahoma" w:hAnsi="Tahoma" w:cs="Tahoma"/>
          <w:szCs w:val="22"/>
        </w:rPr>
        <w:t>Σύμφωνα με το άρθρο 262 του Ν.3463/06:</w:t>
      </w:r>
    </w:p>
    <w:p w:rsidR="001426FB" w:rsidRPr="00B337D5" w:rsidRDefault="001426FB" w:rsidP="001426FB">
      <w:pPr>
        <w:pStyle w:val="af4"/>
        <w:spacing w:line="276" w:lineRule="auto"/>
        <w:ind w:left="709" w:hanging="425"/>
        <w:jc w:val="both"/>
        <w:rPr>
          <w:rFonts w:ascii="Tahoma" w:hAnsi="Tahoma" w:cs="Tahoma"/>
          <w:szCs w:val="22"/>
        </w:rPr>
      </w:pPr>
      <w:r w:rsidRPr="00B337D5">
        <w:rPr>
          <w:rFonts w:ascii="Tahoma" w:hAnsi="Tahoma" w:cs="Tahoma"/>
          <w:szCs w:val="22"/>
        </w:rPr>
        <w:t xml:space="preserve">«1. Δημοτική ή κοινοτική κοινωφελής επιχείρηση μπορεί να λυθεί πριν την πάροδο της  διάρκειάς της με απόφαση του δημοτικού ή κοινοτικού συμβουλίου, η οποία λαμβάνεται με την απόλυτη πλειοψηφία του συνόλου των μελών του και πράξη του Γενικού  Γραμματέα της Περιφέρειας που δημοσιεύεται στην Εφημερίδα της Κυβερνήσεως. Με την ίδια  διαδικασία λύεται η επιχείρηση υποχρεωτικά, εάν καταστεί ανενεργός για χρονικό διάστημα  άνω των δύο (2) ετών. </w:t>
      </w:r>
    </w:p>
    <w:p w:rsidR="001426FB" w:rsidRPr="00B337D5" w:rsidRDefault="001426FB" w:rsidP="001426FB">
      <w:pPr>
        <w:pStyle w:val="af4"/>
        <w:spacing w:line="276" w:lineRule="auto"/>
        <w:ind w:left="709" w:hanging="425"/>
        <w:jc w:val="both"/>
        <w:rPr>
          <w:rFonts w:ascii="Tahoma" w:hAnsi="Tahoma" w:cs="Tahoma"/>
          <w:szCs w:val="22"/>
        </w:rPr>
      </w:pPr>
      <w:r w:rsidRPr="00B337D5">
        <w:rPr>
          <w:rFonts w:ascii="Tahoma" w:hAnsi="Tahoma" w:cs="Tahoma"/>
          <w:szCs w:val="22"/>
        </w:rPr>
        <w:t xml:space="preserve">2. Τη λύση της επιχείρησης ακολουθεί η εκκαθάριση αυτής. Μετά την εκκαθάριση της  επιχείρησης, όσα περιουσιακά στοιχεία απομένουν περιέρχονται στο Δήμο ή την Κοινότητα που  την είχε συστήσει. </w:t>
      </w:r>
    </w:p>
    <w:p w:rsidR="001426FB" w:rsidRPr="00B337D5" w:rsidRDefault="001426FB" w:rsidP="001426FB">
      <w:pPr>
        <w:pStyle w:val="af4"/>
        <w:spacing w:line="276" w:lineRule="auto"/>
        <w:ind w:left="709" w:hanging="425"/>
        <w:jc w:val="both"/>
        <w:rPr>
          <w:rFonts w:ascii="Tahoma" w:hAnsi="Tahoma" w:cs="Tahoma"/>
          <w:szCs w:val="22"/>
        </w:rPr>
      </w:pPr>
      <w:r w:rsidRPr="00B337D5">
        <w:rPr>
          <w:rFonts w:ascii="Tahoma" w:hAnsi="Tahoma" w:cs="Tahoma"/>
          <w:szCs w:val="22"/>
        </w:rPr>
        <w:t>3. Η εκκαθάριση γίνεται μόνον από ορκωτούς ελεγκτές που ορίζονται από το Δημοτικό ή  Κοινοτικό Συμβούλιο.»</w:t>
      </w:r>
    </w:p>
    <w:p w:rsidR="001426FB" w:rsidRPr="00B337D5" w:rsidRDefault="001426FB" w:rsidP="001426FB">
      <w:pPr>
        <w:pStyle w:val="af4"/>
        <w:spacing w:line="276" w:lineRule="auto"/>
        <w:jc w:val="both"/>
        <w:rPr>
          <w:rFonts w:ascii="Tahoma" w:hAnsi="Tahoma" w:cs="Tahoma"/>
          <w:szCs w:val="22"/>
        </w:rPr>
      </w:pPr>
      <w:r w:rsidRPr="00B337D5">
        <w:rPr>
          <w:rFonts w:ascii="Tahoma" w:hAnsi="Tahoma" w:cs="Tahoma"/>
          <w:szCs w:val="22"/>
        </w:rPr>
        <w:t>Αποφάσεις που αφορούν στη σύσταση, τροποποίηση, συγχώνευση, λύση ή κατάργηση δημοτικών κοινωφελών επιχειρήσεων και δημοτικών νομικών προσώπων δημοσίου δικαίου λαμβάνονται σύμφωνα με τα άρθρα 226-270 του Κώδικα Δήμων και Κοινοτήτων (ν. 3463/ 2006). Οι αποφάσεις του Δημοτικού Συμβουλίου εγκρίνονται με πράξη του Γενικού Γραμματέα της Αποκεντρωμένης Διοίκησης, η οποία δημοσιεύεται στην Εφημερίδα της Κυβερνήσεως. (</w:t>
      </w:r>
      <w:proofErr w:type="spellStart"/>
      <w:r w:rsidRPr="00B337D5">
        <w:rPr>
          <w:rFonts w:ascii="Tahoma" w:hAnsi="Tahoma" w:cs="Tahoma"/>
          <w:szCs w:val="22"/>
        </w:rPr>
        <w:t>παρ.2</w:t>
      </w:r>
      <w:proofErr w:type="spellEnd"/>
      <w:r w:rsidRPr="00B337D5">
        <w:rPr>
          <w:rFonts w:ascii="Tahoma" w:hAnsi="Tahoma" w:cs="Tahoma"/>
          <w:szCs w:val="22"/>
        </w:rPr>
        <w:t xml:space="preserve"> του άρθρου 16 του Ν.4147/2013)</w:t>
      </w:r>
    </w:p>
    <w:p w:rsidR="001426FB" w:rsidRPr="00B337D5" w:rsidRDefault="001426FB" w:rsidP="001426FB">
      <w:pPr>
        <w:pStyle w:val="af4"/>
        <w:spacing w:line="276" w:lineRule="auto"/>
        <w:jc w:val="both"/>
        <w:rPr>
          <w:rFonts w:ascii="Tahoma" w:hAnsi="Tahoma" w:cs="Tahoma"/>
          <w:szCs w:val="22"/>
        </w:rPr>
      </w:pPr>
      <w:r w:rsidRPr="00B337D5">
        <w:rPr>
          <w:rFonts w:ascii="Tahoma" w:hAnsi="Tahoma" w:cs="Tahoma"/>
          <w:szCs w:val="22"/>
        </w:rPr>
        <w:t>Σύμφωνα με το άρθρο 9 της Κ.Υ.Α. 50891/10.09.2007 (ΦΕΚ 1876/14.09.2007 τεύχος Β’) όπως τροποποιήθηκε από την απόφαση ΥΠ.ΕΣ. 12509/19.04.2017 (ΦΕΚ 1415/26.04.2017 τεύχος Β'):</w:t>
      </w:r>
    </w:p>
    <w:p w:rsidR="001426FB" w:rsidRPr="00B337D5" w:rsidRDefault="001426FB" w:rsidP="001426FB">
      <w:pPr>
        <w:pStyle w:val="af4"/>
        <w:tabs>
          <w:tab w:val="left" w:pos="709"/>
        </w:tabs>
        <w:spacing w:line="276" w:lineRule="auto"/>
        <w:ind w:left="709" w:hanging="425"/>
        <w:jc w:val="both"/>
        <w:rPr>
          <w:rFonts w:ascii="Tahoma" w:hAnsi="Tahoma" w:cs="Tahoma"/>
          <w:szCs w:val="22"/>
        </w:rPr>
      </w:pPr>
      <w:r w:rsidRPr="00B337D5">
        <w:rPr>
          <w:rFonts w:ascii="Tahoma" w:hAnsi="Tahoma" w:cs="Tahoma"/>
          <w:szCs w:val="22"/>
        </w:rPr>
        <w:t xml:space="preserve">"1. Δημοτική ή Κοινοτική κοινωφελής επιχείρηση μπορεί να λυθεί πριν την πάροδο της διάρκειάς της με αιτιολογημένη απόφαση του Δημοτικού ή Κοινοτικού συμβουλίου, η οποία λαμβάνεται με την απόλυτη πλειοψηφία του συνόλου των μελών του και πράξη του Γενικού Γραμματέα της Περιφέρειας που δημοσιεύεται στην Εφημερίδα της Κυβερνήσεως. Με την ίδια διαδικασία λύεται η επιχείρηση υποχρεωτικά, εάν </w:t>
      </w:r>
    </w:p>
    <w:p w:rsidR="001426FB" w:rsidRPr="00B337D5" w:rsidRDefault="001426FB" w:rsidP="001426FB">
      <w:pPr>
        <w:pStyle w:val="af4"/>
        <w:spacing w:line="276" w:lineRule="auto"/>
        <w:ind w:left="709"/>
        <w:jc w:val="both"/>
        <w:rPr>
          <w:rFonts w:ascii="Tahoma" w:hAnsi="Tahoma" w:cs="Tahoma"/>
          <w:szCs w:val="22"/>
        </w:rPr>
      </w:pPr>
      <w:r w:rsidRPr="00B337D5">
        <w:rPr>
          <w:rFonts w:ascii="Tahoma" w:hAnsi="Tahoma" w:cs="Tahoma"/>
          <w:szCs w:val="22"/>
        </w:rPr>
        <w:t xml:space="preserve">α) λήξει χωρίς να παραταθεί η διάρκεια της, </w:t>
      </w:r>
    </w:p>
    <w:p w:rsidR="001426FB" w:rsidRPr="00B337D5" w:rsidRDefault="001426FB" w:rsidP="001426FB">
      <w:pPr>
        <w:pStyle w:val="af4"/>
        <w:spacing w:line="276" w:lineRule="auto"/>
        <w:ind w:left="709"/>
        <w:jc w:val="both"/>
        <w:rPr>
          <w:rFonts w:ascii="Tahoma" w:hAnsi="Tahoma" w:cs="Tahoma"/>
          <w:szCs w:val="22"/>
        </w:rPr>
      </w:pPr>
      <w:r w:rsidRPr="00B337D5">
        <w:rPr>
          <w:rFonts w:ascii="Tahoma" w:hAnsi="Tahoma" w:cs="Tahoma"/>
          <w:szCs w:val="22"/>
        </w:rPr>
        <w:t xml:space="preserve">β) πτωχεύσει και </w:t>
      </w:r>
    </w:p>
    <w:p w:rsidR="001426FB" w:rsidRPr="00B337D5" w:rsidRDefault="001426FB" w:rsidP="001426FB">
      <w:pPr>
        <w:pStyle w:val="af4"/>
        <w:spacing w:line="276" w:lineRule="auto"/>
        <w:ind w:left="709"/>
        <w:jc w:val="both"/>
        <w:rPr>
          <w:rFonts w:ascii="Tahoma" w:hAnsi="Tahoma" w:cs="Tahoma"/>
          <w:szCs w:val="22"/>
        </w:rPr>
      </w:pPr>
      <w:r w:rsidRPr="00B337D5">
        <w:rPr>
          <w:rFonts w:ascii="Tahoma" w:hAnsi="Tahoma" w:cs="Tahoma"/>
          <w:szCs w:val="22"/>
        </w:rPr>
        <w:t>γ) καταστεί ανενεργός για χρονικό διάστημα άνω των δύο (2) ετών.</w:t>
      </w:r>
    </w:p>
    <w:p w:rsidR="001426FB" w:rsidRPr="00B337D5" w:rsidRDefault="001426FB" w:rsidP="001426FB">
      <w:pPr>
        <w:pStyle w:val="af4"/>
        <w:spacing w:line="276" w:lineRule="auto"/>
        <w:ind w:left="709" w:hanging="425"/>
        <w:jc w:val="both"/>
        <w:rPr>
          <w:rFonts w:ascii="Tahoma" w:hAnsi="Tahoma" w:cs="Tahoma"/>
          <w:szCs w:val="22"/>
        </w:rPr>
      </w:pPr>
      <w:r w:rsidRPr="00B337D5">
        <w:rPr>
          <w:rFonts w:ascii="Tahoma" w:hAnsi="Tahoma" w:cs="Tahoma"/>
          <w:szCs w:val="22"/>
        </w:rPr>
        <w:t>2. Τη λύση της επιχείρησης ακολουθεί η εκκαθάριση αυτής. Μετά την εκκαθάριση της επιχείρησης, όσα περιουσιακά στοιχεία απομένουν περιέρχονται στο Δήμο ή την Κοινότητα που την είχε συστήσει.</w:t>
      </w:r>
    </w:p>
    <w:p w:rsidR="001426FB" w:rsidRPr="00B337D5" w:rsidRDefault="001426FB" w:rsidP="001426FB">
      <w:pPr>
        <w:pStyle w:val="af4"/>
        <w:spacing w:line="276" w:lineRule="auto"/>
        <w:ind w:left="709" w:hanging="425"/>
        <w:jc w:val="both"/>
        <w:rPr>
          <w:rFonts w:ascii="Tahoma" w:hAnsi="Tahoma" w:cs="Tahoma"/>
          <w:szCs w:val="22"/>
        </w:rPr>
      </w:pPr>
      <w:r w:rsidRPr="00B337D5">
        <w:rPr>
          <w:rFonts w:ascii="Tahoma" w:hAnsi="Tahoma" w:cs="Tahoma"/>
          <w:szCs w:val="22"/>
        </w:rPr>
        <w:t>3. Η εκκαθάριση γίνεται μόνον από ορκωτούς ελεγκτές που ορίζονται από το Δημοτικό ή Κοινοτικό συμβούλιο.</w:t>
      </w:r>
    </w:p>
    <w:p w:rsidR="001426FB" w:rsidRPr="00B337D5" w:rsidRDefault="001426FB" w:rsidP="001426FB">
      <w:pPr>
        <w:pStyle w:val="af4"/>
        <w:spacing w:line="276" w:lineRule="auto"/>
        <w:ind w:left="709" w:hanging="425"/>
        <w:jc w:val="both"/>
        <w:rPr>
          <w:rFonts w:ascii="Tahoma" w:hAnsi="Tahoma" w:cs="Tahoma"/>
          <w:szCs w:val="22"/>
        </w:rPr>
      </w:pPr>
      <w:r w:rsidRPr="00B337D5">
        <w:rPr>
          <w:rFonts w:ascii="Tahoma" w:hAnsi="Tahoma" w:cs="Tahoma"/>
          <w:szCs w:val="22"/>
        </w:rPr>
        <w:t>4. Με τον ορισμό των εκκαθαριστών παύει αυτοδίκαια η εξουσία των μελών του Διοικητικού Συμβουλίου και τις αρμοδιότητές του ασκούν οι εκκαθαριστές, εκτός από τις αρμοδιότητες που θα κρατήσει το ίδιο το Δημοτικό ή Κοινοτικό Συμβούλιο. Επίσης με τον ορισμό των εκκαθαριστών παύει αυτοδίκαια η εξουσία των ελεγκτών. Οι διοριζόμενοι εκκαθαριστές οφείλουν, μόλις αναλάβουν τα καθήκοντά τους, να ενεργήσουν απογραφή της περιουσίας της επιχείρησης.</w:t>
      </w:r>
    </w:p>
    <w:p w:rsidR="001426FB" w:rsidRPr="00B337D5" w:rsidRDefault="001426FB" w:rsidP="001426FB">
      <w:pPr>
        <w:pStyle w:val="af4"/>
        <w:spacing w:line="276" w:lineRule="auto"/>
        <w:ind w:left="709" w:hanging="425"/>
        <w:jc w:val="both"/>
        <w:rPr>
          <w:rFonts w:ascii="Tahoma" w:hAnsi="Tahoma" w:cs="Tahoma"/>
          <w:szCs w:val="22"/>
        </w:rPr>
      </w:pPr>
      <w:r w:rsidRPr="00B337D5">
        <w:rPr>
          <w:rFonts w:ascii="Tahoma" w:hAnsi="Tahoma" w:cs="Tahoma"/>
          <w:szCs w:val="22"/>
        </w:rPr>
        <w:t xml:space="preserve">5. Στην εκκαθάριση διεκπεραιώνονται οι εκκρεμείς υποθέσεις, εισπράττονται οι απαιτήσεις, ρευστοποιείται η περιουσία και πληρώνονται τα χρέη της επιχείρησης. Το υπόλοιπο περιέρχεται στο Δήμο ή την Κοινότητα που έχει συστήσει την επιχείρηση. Οι λογαριασμοί </w:t>
      </w:r>
      <w:r w:rsidRPr="00B337D5">
        <w:rPr>
          <w:rFonts w:ascii="Tahoma" w:hAnsi="Tahoma" w:cs="Tahoma"/>
          <w:szCs w:val="22"/>
        </w:rPr>
        <w:lastRenderedPageBreak/>
        <w:t>της εκκαθάρισης εγκρίνονται από το Δημοτικό ή Κοινοτικό Συμβούλιο, το οποίο επίσης αποφασίζει για την απαλλαγή των εκκαθαριστών, από κάθε ευθύνη. Οι συζητήσεις και οι αποφάσεις των εκκαθαριστών καταχωρούνται περιληπτικά στο βιβλίο πρακτικών του διοικητικού συμβουλίου της επιχείρησης.</w:t>
      </w:r>
    </w:p>
    <w:p w:rsidR="001426FB" w:rsidRPr="00B337D5" w:rsidRDefault="001426FB" w:rsidP="001426FB">
      <w:pPr>
        <w:pStyle w:val="af4"/>
        <w:spacing w:line="276" w:lineRule="auto"/>
        <w:ind w:left="709" w:hanging="425"/>
        <w:jc w:val="both"/>
        <w:rPr>
          <w:rFonts w:ascii="Tahoma" w:hAnsi="Tahoma" w:cs="Tahoma"/>
          <w:szCs w:val="22"/>
        </w:rPr>
      </w:pPr>
      <w:r w:rsidRPr="00B337D5">
        <w:rPr>
          <w:rFonts w:ascii="Tahoma" w:hAnsi="Tahoma" w:cs="Tahoma"/>
          <w:szCs w:val="22"/>
        </w:rPr>
        <w:t>6. Το στάδιο της εκκαθάρισης δεν μπορεί να υπερβεί την τριετία από την ημερομηνία έναρξης αυτής. Για τη συνέχιση της εκκαθάρισης πέραν της τριετίας και για όσο χρονικό διάστημα κρίνεται απαραίτητο κάθε φορά για την ολοκλήρωση αυτής, απαιτείται πράξη της αρμόδιας για την εποπτεία του δήμου Αρχής, κατόπιν σχετικής απόφασης του οικείου Δημοτικού Συμβουλίου. Ωστόσο, ο συνολικός χρόνος της εκκαθάρισης δεν μπορεί να υπερβεί την οκταετία.</w:t>
      </w:r>
    </w:p>
    <w:p w:rsidR="001426FB" w:rsidRPr="00B337D5" w:rsidRDefault="001426FB" w:rsidP="001426FB">
      <w:pPr>
        <w:pStyle w:val="af4"/>
        <w:spacing w:line="276" w:lineRule="auto"/>
        <w:ind w:left="709" w:hanging="425"/>
        <w:jc w:val="both"/>
        <w:rPr>
          <w:rFonts w:ascii="Tahoma" w:hAnsi="Tahoma" w:cs="Tahoma"/>
          <w:szCs w:val="22"/>
        </w:rPr>
      </w:pPr>
      <w:r w:rsidRPr="00B337D5">
        <w:rPr>
          <w:rFonts w:ascii="Tahoma" w:hAnsi="Tahoma" w:cs="Tahoma"/>
          <w:szCs w:val="22"/>
        </w:rPr>
        <w:t xml:space="preserve">7. Αν η διάλυση επιχείρησης έγινε λόγω λήξης της διάρκειας ή λόγω πτώχευσης, που όμως ανακλήθηκε ή περατώθηκε με συμβιβασμό, είναι δυνατή η αναβίωση της επιχείρησης με απόφαση του Δημοτικού ή Κοινοτικού Συμβουλίου και πράξη του Γενικού Γραμματέα της οικείας Περιφέρειας". </w:t>
      </w:r>
    </w:p>
    <w:p w:rsidR="001426FB" w:rsidRPr="00B337D5" w:rsidRDefault="001426FB" w:rsidP="001426FB">
      <w:pPr>
        <w:pStyle w:val="af4"/>
        <w:spacing w:line="276" w:lineRule="auto"/>
        <w:jc w:val="both"/>
        <w:rPr>
          <w:rFonts w:ascii="Tahoma" w:hAnsi="Tahoma" w:cs="Tahoma"/>
          <w:szCs w:val="22"/>
        </w:rPr>
      </w:pPr>
    </w:p>
    <w:p w:rsidR="001426FB" w:rsidRPr="00B337D5" w:rsidRDefault="001426FB" w:rsidP="001426FB">
      <w:pPr>
        <w:pStyle w:val="af4"/>
        <w:spacing w:line="276" w:lineRule="auto"/>
        <w:jc w:val="both"/>
        <w:rPr>
          <w:rFonts w:ascii="Tahoma" w:hAnsi="Tahoma" w:cs="Tahoma"/>
          <w:szCs w:val="22"/>
        </w:rPr>
      </w:pPr>
      <w:r w:rsidRPr="00B337D5">
        <w:rPr>
          <w:rFonts w:ascii="Tahoma" w:hAnsi="Tahoma" w:cs="Tahoma"/>
          <w:szCs w:val="22"/>
        </w:rPr>
        <w:t>Το ύψος της αποζημίωσης των εκκαθαριστών προσδιορίζεται με την ίδια απόφαση του ορισμού τους από το δημοτικό συμβούλιο και βαρύνει τον προϋπολογισμό του οικείου ΟΤΑ. Το ίδιο ισχύει και για τις επιχειρήσεις με ειδικό σκοπό τη λειτουργία ραδιοφωνικού ή τηλεοπτικού σταθμού. (άρθρο 10 παρ. 9 του Ν.4071/2012)</w:t>
      </w:r>
    </w:p>
    <w:p w:rsidR="001426FB" w:rsidRPr="00B337D5" w:rsidRDefault="001426FB" w:rsidP="001426FB">
      <w:pPr>
        <w:spacing w:line="276" w:lineRule="auto"/>
        <w:jc w:val="both"/>
        <w:rPr>
          <w:rFonts w:ascii="Tahoma" w:hAnsi="Tahoma" w:cs="Tahoma"/>
          <w:sz w:val="22"/>
          <w:szCs w:val="22"/>
        </w:rPr>
      </w:pPr>
      <w:r w:rsidRPr="00B337D5">
        <w:rPr>
          <w:rFonts w:ascii="Tahoma" w:hAnsi="Tahoma" w:cs="Tahoma"/>
          <w:sz w:val="22"/>
          <w:szCs w:val="22"/>
        </w:rPr>
        <w:t>Δεν μπορούν να οριστούν ως εκκαθαριστές πρόσωπα που έχουν ασκήσει διοίκηση ή έχουν υπάρξει υπάλληλοι στις υπό εκκαθάριση δημοτικές επιχειρήσεις. (άρθρο 10 παρ. 9 του Ν.4071/2012).</w:t>
      </w:r>
    </w:p>
    <w:p w:rsidR="001426FB" w:rsidRPr="00B337D5" w:rsidRDefault="001426FB" w:rsidP="001426FB">
      <w:pPr>
        <w:pStyle w:val="af4"/>
        <w:spacing w:line="276" w:lineRule="auto"/>
        <w:jc w:val="both"/>
        <w:rPr>
          <w:rFonts w:ascii="Tahoma" w:hAnsi="Tahoma" w:cs="Tahoma"/>
          <w:szCs w:val="22"/>
        </w:rPr>
      </w:pPr>
      <w:r w:rsidRPr="00B337D5">
        <w:rPr>
          <w:rFonts w:ascii="Tahoma" w:hAnsi="Tahoma" w:cs="Tahoma"/>
          <w:szCs w:val="22"/>
        </w:rPr>
        <w:t xml:space="preserve">Έχοντας υπόψη τις διατάξεις </w:t>
      </w:r>
    </w:p>
    <w:p w:rsidR="001426FB" w:rsidRPr="00B337D5" w:rsidRDefault="001426FB" w:rsidP="001426FB">
      <w:pPr>
        <w:pStyle w:val="af4"/>
        <w:numPr>
          <w:ilvl w:val="0"/>
          <w:numId w:val="26"/>
        </w:numPr>
        <w:spacing w:line="276" w:lineRule="auto"/>
        <w:ind w:left="709"/>
        <w:jc w:val="both"/>
        <w:rPr>
          <w:rFonts w:ascii="Tahoma" w:hAnsi="Tahoma" w:cs="Tahoma"/>
          <w:szCs w:val="22"/>
        </w:rPr>
      </w:pPr>
      <w:r w:rsidRPr="00B337D5">
        <w:rPr>
          <w:rFonts w:ascii="Tahoma" w:hAnsi="Tahoma" w:cs="Tahoma"/>
          <w:szCs w:val="22"/>
        </w:rPr>
        <w:t>του άρθρου 262 Ν. 3463/06</w:t>
      </w:r>
    </w:p>
    <w:p w:rsidR="001426FB" w:rsidRPr="00B337D5" w:rsidRDefault="001426FB" w:rsidP="001426FB">
      <w:pPr>
        <w:pStyle w:val="af4"/>
        <w:numPr>
          <w:ilvl w:val="0"/>
          <w:numId w:val="26"/>
        </w:numPr>
        <w:spacing w:line="276" w:lineRule="auto"/>
        <w:ind w:left="709"/>
        <w:jc w:val="both"/>
        <w:rPr>
          <w:rFonts w:ascii="Tahoma" w:hAnsi="Tahoma" w:cs="Tahoma"/>
          <w:szCs w:val="22"/>
        </w:rPr>
      </w:pPr>
      <w:r w:rsidRPr="00B337D5">
        <w:rPr>
          <w:rFonts w:ascii="Tahoma" w:hAnsi="Tahoma" w:cs="Tahoma"/>
          <w:szCs w:val="22"/>
        </w:rPr>
        <w:t>την παρ.2 του άρθρου 16 του Ν.4147/2013</w:t>
      </w:r>
    </w:p>
    <w:p w:rsidR="001426FB" w:rsidRPr="00B337D5" w:rsidRDefault="001426FB" w:rsidP="001426FB">
      <w:pPr>
        <w:pStyle w:val="af4"/>
        <w:numPr>
          <w:ilvl w:val="0"/>
          <w:numId w:val="26"/>
        </w:numPr>
        <w:spacing w:line="276" w:lineRule="auto"/>
        <w:ind w:left="709"/>
        <w:jc w:val="both"/>
        <w:rPr>
          <w:rFonts w:ascii="Tahoma" w:hAnsi="Tahoma" w:cs="Tahoma"/>
          <w:szCs w:val="22"/>
        </w:rPr>
      </w:pPr>
      <w:r w:rsidRPr="00B337D5">
        <w:rPr>
          <w:rFonts w:ascii="Tahoma" w:hAnsi="Tahoma" w:cs="Tahoma"/>
          <w:szCs w:val="22"/>
        </w:rPr>
        <w:t>την Κ.Υ.Α. 50891/10.09.2007 (ΦΕΚ 1876/14.09.2007 τεύχος Β’) όπως τροποποιήθηκε από την απόφαση ΥΠ.ΕΣ. 12509/19.04.2017 (ΦΕΚ 1415/26.04.2017 τεύχος Β')</w:t>
      </w:r>
    </w:p>
    <w:p w:rsidR="001426FB" w:rsidRPr="00B337D5" w:rsidRDefault="001426FB" w:rsidP="001426FB">
      <w:pPr>
        <w:pStyle w:val="af4"/>
        <w:numPr>
          <w:ilvl w:val="0"/>
          <w:numId w:val="26"/>
        </w:numPr>
        <w:spacing w:line="276" w:lineRule="auto"/>
        <w:ind w:left="709"/>
        <w:jc w:val="both"/>
        <w:rPr>
          <w:rFonts w:ascii="Tahoma" w:hAnsi="Tahoma" w:cs="Tahoma"/>
          <w:szCs w:val="22"/>
        </w:rPr>
      </w:pPr>
      <w:r w:rsidRPr="00B337D5">
        <w:rPr>
          <w:rFonts w:ascii="Tahoma" w:hAnsi="Tahoma" w:cs="Tahoma"/>
          <w:szCs w:val="22"/>
        </w:rPr>
        <w:t>την παρ. 9 του άρθρου 10 του Ν.4071/2012</w:t>
      </w:r>
    </w:p>
    <w:p w:rsidR="001426FB" w:rsidRPr="00B337D5" w:rsidRDefault="001426FB" w:rsidP="001426FB">
      <w:pPr>
        <w:pStyle w:val="af4"/>
        <w:spacing w:line="276" w:lineRule="auto"/>
        <w:jc w:val="both"/>
        <w:rPr>
          <w:rFonts w:ascii="Tahoma" w:hAnsi="Tahoma" w:cs="Tahoma"/>
          <w:szCs w:val="22"/>
        </w:rPr>
      </w:pPr>
      <w:r w:rsidRPr="00B337D5">
        <w:rPr>
          <w:rFonts w:ascii="Tahoma" w:hAnsi="Tahoma" w:cs="Tahoma"/>
          <w:szCs w:val="22"/>
        </w:rPr>
        <w:t>Εισηγούμαστε τη συμπλήρωση της αριθ. 212/2018 αποφάσεως του Δημοτικού Συμβουλίου ως προς τον ορισμό των εκκαθαριστών οι οποίοι θα είναι υποχρεωτικά ορκωτοί ελεγκτές και θα πρέπει να τους ορίσει με απόφασή του το Δημοτικό Συμβούλιο, όπως θα πρέπει να ορίσει την αποζημίωση που θα τους καταβληθεί και θα βαρύνει τον ΚΑ 10-6115.003 του προϋπολογισμού του Δήμου οικονομικού έτους 2018 στον οποίο υπάρχει εγγεγραμμένη πίστωση 8.000,00 €.</w:t>
      </w:r>
    </w:p>
    <w:p w:rsidR="001426FB" w:rsidRPr="00B337D5" w:rsidRDefault="001426FB" w:rsidP="001426FB">
      <w:pPr>
        <w:pStyle w:val="af4"/>
        <w:spacing w:line="276" w:lineRule="auto"/>
        <w:jc w:val="both"/>
        <w:rPr>
          <w:rFonts w:ascii="Tahoma" w:hAnsi="Tahoma" w:cs="Tahoma"/>
          <w:szCs w:val="22"/>
        </w:rPr>
      </w:pPr>
      <w:r w:rsidRPr="00B337D5">
        <w:rPr>
          <w:rFonts w:ascii="Tahoma" w:hAnsi="Tahoma" w:cs="Tahoma"/>
          <w:szCs w:val="22"/>
        </w:rPr>
        <w:t>Επίσης παύει αυτοδίκαια η εξουσία των μελών του Διοικητικού Συμβουλίου και τις αρμοδιότητές του ασκούν οι εκκαθαριστές που θα ορισθούν.</w:t>
      </w:r>
    </w:p>
    <w:p w:rsidR="001426FB" w:rsidRPr="003568F9" w:rsidRDefault="001426FB" w:rsidP="001426FB">
      <w:pPr>
        <w:spacing w:line="276" w:lineRule="auto"/>
        <w:jc w:val="both"/>
        <w:rPr>
          <w:rStyle w:val="Chara"/>
          <w:rFonts w:ascii="Tahoma" w:hAnsi="Tahoma" w:cs="Tahoma"/>
          <w:szCs w:val="22"/>
        </w:rPr>
      </w:pPr>
    </w:p>
    <w:p w:rsidR="001426FB" w:rsidRPr="00DC3122" w:rsidRDefault="001426FB" w:rsidP="001426FB">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426FB" w:rsidRDefault="001426FB" w:rsidP="001426FB">
      <w:pPr>
        <w:shd w:val="clear" w:color="auto" w:fill="FFFFFF"/>
        <w:spacing w:line="276" w:lineRule="auto"/>
        <w:jc w:val="both"/>
        <w:rPr>
          <w:rFonts w:ascii="Arial" w:hAnsi="Arial" w:cs="Arial"/>
          <w:color w:val="000000"/>
          <w:sz w:val="13"/>
          <w:szCs w:val="13"/>
        </w:rPr>
      </w:pPr>
    </w:p>
    <w:p w:rsidR="001426FB" w:rsidRDefault="001426FB" w:rsidP="001426FB">
      <w:pPr>
        <w:shd w:val="clear" w:color="auto" w:fill="FFFFFF"/>
        <w:spacing w:line="276" w:lineRule="auto"/>
        <w:jc w:val="both"/>
        <w:rPr>
          <w:rFonts w:ascii="Arial" w:hAnsi="Arial" w:cs="Arial"/>
          <w:color w:val="000000"/>
          <w:sz w:val="13"/>
          <w:szCs w:val="13"/>
        </w:rPr>
      </w:pPr>
    </w:p>
    <w:p w:rsidR="001426FB" w:rsidRDefault="001426FB" w:rsidP="001426FB">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1426FB" w:rsidRPr="00094469" w:rsidRDefault="001426FB" w:rsidP="001426FB">
      <w:pPr>
        <w:rPr>
          <w:rFonts w:ascii="Tahoma" w:hAnsi="Tahoma" w:cs="Tahoma"/>
          <w:sz w:val="22"/>
          <w:szCs w:val="22"/>
        </w:rPr>
      </w:pPr>
      <w:r>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Αφού έλαβε υπόψη τον Ν.3463/06, Ν.3852/10 και</w:t>
      </w:r>
      <w:r>
        <w:rPr>
          <w:rFonts w:ascii="Tahoma" w:hAnsi="Tahoma" w:cs="Tahoma"/>
          <w:color w:val="000000"/>
          <w:sz w:val="22"/>
          <w:szCs w:val="22"/>
          <w:shd w:val="clear" w:color="auto" w:fill="FFFFFF"/>
        </w:rPr>
        <w:t xml:space="preserve"> </w:t>
      </w:r>
      <w:r w:rsidRPr="00094469">
        <w:rPr>
          <w:rFonts w:ascii="Tahoma" w:hAnsi="Tahoma" w:cs="Tahoma"/>
          <w:color w:val="000000"/>
          <w:sz w:val="22"/>
          <w:szCs w:val="22"/>
          <w:shd w:val="clear" w:color="auto" w:fill="FFFFFF"/>
        </w:rPr>
        <w:t>την εισήγηση                                     </w:t>
      </w:r>
    </w:p>
    <w:p w:rsidR="001426FB" w:rsidRPr="00094469" w:rsidRDefault="001426FB" w:rsidP="001426FB">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1426FB" w:rsidRPr="00094469" w:rsidRDefault="001426FB" w:rsidP="001426FB">
      <w:pPr>
        <w:rPr>
          <w:rFonts w:ascii="Tahoma" w:hAnsi="Tahoma" w:cs="Tahoma"/>
          <w:color w:val="000000"/>
          <w:sz w:val="22"/>
          <w:szCs w:val="22"/>
        </w:rPr>
      </w:pPr>
    </w:p>
    <w:p w:rsidR="001426FB" w:rsidRDefault="001426FB" w:rsidP="001426FB">
      <w:pPr>
        <w:pStyle w:val="af4"/>
        <w:spacing w:line="276" w:lineRule="auto"/>
        <w:jc w:val="both"/>
        <w:rPr>
          <w:rFonts w:ascii="Tahoma" w:hAnsi="Tahoma" w:cs="Tahoma"/>
          <w:szCs w:val="22"/>
        </w:rPr>
      </w:pPr>
      <w:r w:rsidRPr="003568F9">
        <w:rPr>
          <w:rFonts w:ascii="Tahoma" w:hAnsi="Tahoma" w:cs="Tahoma"/>
          <w:szCs w:val="22"/>
        </w:rPr>
        <w:t xml:space="preserve">Α. </w:t>
      </w:r>
      <w:r>
        <w:rPr>
          <w:rFonts w:ascii="Tahoma" w:hAnsi="Tahoma" w:cs="Tahoma"/>
          <w:szCs w:val="22"/>
        </w:rPr>
        <w:t>Τ</w:t>
      </w:r>
      <w:r w:rsidRPr="00B337D5">
        <w:rPr>
          <w:rFonts w:ascii="Tahoma" w:hAnsi="Tahoma" w:cs="Tahoma"/>
          <w:szCs w:val="22"/>
        </w:rPr>
        <w:t>η συμπλήρωση της αριθ. 212/2018 α</w:t>
      </w:r>
      <w:r>
        <w:rPr>
          <w:rFonts w:ascii="Tahoma" w:hAnsi="Tahoma" w:cs="Tahoma"/>
          <w:szCs w:val="22"/>
        </w:rPr>
        <w:t xml:space="preserve">πόφασης </w:t>
      </w:r>
      <w:r w:rsidRPr="00B337D5">
        <w:rPr>
          <w:rFonts w:ascii="Tahoma" w:hAnsi="Tahoma" w:cs="Tahoma"/>
          <w:szCs w:val="22"/>
        </w:rPr>
        <w:t xml:space="preserve">του Δημοτικού Συμβουλίου ως </w:t>
      </w:r>
      <w:r>
        <w:rPr>
          <w:rFonts w:ascii="Tahoma" w:hAnsi="Tahoma" w:cs="Tahoma"/>
          <w:szCs w:val="22"/>
        </w:rPr>
        <w:t xml:space="preserve">εξής: </w:t>
      </w:r>
    </w:p>
    <w:p w:rsidR="001426FB" w:rsidRDefault="001426FB" w:rsidP="001426FB">
      <w:pPr>
        <w:pStyle w:val="af4"/>
        <w:spacing w:line="276" w:lineRule="auto"/>
        <w:jc w:val="both"/>
        <w:rPr>
          <w:rFonts w:ascii="Tahoma" w:hAnsi="Tahoma" w:cs="Tahoma"/>
          <w:szCs w:val="22"/>
        </w:rPr>
      </w:pPr>
      <w:r>
        <w:rPr>
          <w:rFonts w:ascii="Tahoma" w:hAnsi="Tahoma" w:cs="Tahoma"/>
          <w:szCs w:val="22"/>
        </w:rPr>
        <w:t xml:space="preserve">1) Ορίζει </w:t>
      </w:r>
      <w:r w:rsidRPr="00B337D5">
        <w:rPr>
          <w:rFonts w:ascii="Tahoma" w:hAnsi="Tahoma" w:cs="Tahoma"/>
          <w:szCs w:val="22"/>
        </w:rPr>
        <w:t>εκκαθαριστ</w:t>
      </w:r>
      <w:r>
        <w:rPr>
          <w:rFonts w:ascii="Tahoma" w:hAnsi="Tahoma" w:cs="Tahoma"/>
          <w:szCs w:val="22"/>
        </w:rPr>
        <w:t>ές</w:t>
      </w:r>
      <w:r w:rsidRPr="00B337D5">
        <w:rPr>
          <w:rFonts w:ascii="Tahoma" w:hAnsi="Tahoma" w:cs="Tahoma"/>
          <w:szCs w:val="22"/>
        </w:rPr>
        <w:t xml:space="preserve"> εκκαθάριση της αμιγούς Δημοτικής επιχείρησης του πρώην Δήμου Αμβρακικού με την επωνυμία «Αναπτυξιακή Επιχείρηση Δήμου Αμβρακικού»</w:t>
      </w:r>
      <w:r>
        <w:rPr>
          <w:rFonts w:ascii="Tahoma" w:hAnsi="Tahoma" w:cs="Tahoma"/>
          <w:szCs w:val="22"/>
        </w:rPr>
        <w:t xml:space="preserve"> την εταιρεία </w:t>
      </w:r>
      <w:r>
        <w:rPr>
          <w:rFonts w:ascii="Tahoma" w:hAnsi="Tahoma" w:cs="Tahoma"/>
          <w:szCs w:val="22"/>
        </w:rPr>
        <w:lastRenderedPageBreak/>
        <w:t>«</w:t>
      </w:r>
      <w:r>
        <w:rPr>
          <w:rFonts w:ascii="Tahoma" w:hAnsi="Tahoma" w:cs="Tahoma"/>
          <w:szCs w:val="22"/>
          <w:lang w:val="en-US"/>
        </w:rPr>
        <w:t>AUDIT</w:t>
      </w:r>
      <w:r w:rsidRPr="001426FB">
        <w:rPr>
          <w:rFonts w:ascii="Tahoma" w:hAnsi="Tahoma" w:cs="Tahoma"/>
          <w:szCs w:val="22"/>
        </w:rPr>
        <w:t xml:space="preserve"> </w:t>
      </w:r>
      <w:r>
        <w:rPr>
          <w:rFonts w:ascii="Tahoma" w:hAnsi="Tahoma" w:cs="Tahoma"/>
          <w:szCs w:val="22"/>
          <w:lang w:val="en-US"/>
        </w:rPr>
        <w:t>OPINION</w:t>
      </w:r>
      <w:r w:rsidRPr="001426FB">
        <w:rPr>
          <w:rFonts w:ascii="Tahoma" w:hAnsi="Tahoma" w:cs="Tahoma"/>
          <w:szCs w:val="22"/>
        </w:rPr>
        <w:t xml:space="preserve"> </w:t>
      </w:r>
      <w:r>
        <w:rPr>
          <w:rFonts w:ascii="Tahoma" w:hAnsi="Tahoma" w:cs="Tahoma"/>
          <w:szCs w:val="22"/>
          <w:lang w:val="en-US"/>
        </w:rPr>
        <w:t>E</w:t>
      </w:r>
      <w:r>
        <w:rPr>
          <w:rFonts w:ascii="Tahoma" w:hAnsi="Tahoma" w:cs="Tahoma"/>
          <w:szCs w:val="22"/>
        </w:rPr>
        <w:t>ΠΕ  ΟΡΚΩΤΟΙ ΕΛΕΓΚΤΕΣ» Δρόσος Δημήτριος</w:t>
      </w:r>
      <w:r w:rsidR="005A4535">
        <w:rPr>
          <w:rFonts w:ascii="Tahoma" w:hAnsi="Tahoma" w:cs="Tahoma"/>
          <w:szCs w:val="22"/>
        </w:rPr>
        <w:t xml:space="preserve"> ΑΜ ΣΟΕΛ 31371 ΑΜ ΕΛΤΕ 1264 </w:t>
      </w:r>
      <w:r>
        <w:rPr>
          <w:rFonts w:ascii="Tahoma" w:hAnsi="Tahoma" w:cs="Tahoma"/>
          <w:szCs w:val="22"/>
        </w:rPr>
        <w:t xml:space="preserve"> – </w:t>
      </w:r>
      <w:proofErr w:type="spellStart"/>
      <w:r>
        <w:rPr>
          <w:rFonts w:ascii="Tahoma" w:hAnsi="Tahoma" w:cs="Tahoma"/>
          <w:szCs w:val="22"/>
        </w:rPr>
        <w:t>Μαυρομήτρος</w:t>
      </w:r>
      <w:proofErr w:type="spellEnd"/>
      <w:r>
        <w:rPr>
          <w:rFonts w:ascii="Tahoma" w:hAnsi="Tahoma" w:cs="Tahoma"/>
          <w:szCs w:val="22"/>
        </w:rPr>
        <w:t xml:space="preserve"> Λεωνίδας</w:t>
      </w:r>
      <w:r w:rsidR="005A4535">
        <w:rPr>
          <w:rFonts w:ascii="Tahoma" w:hAnsi="Tahoma" w:cs="Tahoma"/>
          <w:szCs w:val="22"/>
        </w:rPr>
        <w:t xml:space="preserve"> ΑΜ ΣΟΕΛ31371 ΑΜ ΕΛΤΕ 1510</w:t>
      </w:r>
    </w:p>
    <w:p w:rsidR="005A4535" w:rsidRPr="001426FB" w:rsidRDefault="005A4535" w:rsidP="001426FB">
      <w:pPr>
        <w:pStyle w:val="af4"/>
        <w:spacing w:line="276" w:lineRule="auto"/>
        <w:jc w:val="both"/>
        <w:rPr>
          <w:rFonts w:ascii="Tahoma" w:hAnsi="Tahoma" w:cs="Tahoma"/>
          <w:szCs w:val="22"/>
        </w:rPr>
      </w:pPr>
    </w:p>
    <w:p w:rsidR="001426FB" w:rsidRDefault="001426FB" w:rsidP="001426FB">
      <w:pPr>
        <w:pStyle w:val="af4"/>
        <w:spacing w:line="276" w:lineRule="auto"/>
        <w:jc w:val="both"/>
        <w:rPr>
          <w:rFonts w:ascii="Tahoma" w:hAnsi="Tahoma" w:cs="Tahoma"/>
          <w:szCs w:val="22"/>
        </w:rPr>
      </w:pPr>
      <w:r>
        <w:rPr>
          <w:rFonts w:ascii="Tahoma" w:hAnsi="Tahoma" w:cs="Tahoma"/>
          <w:szCs w:val="22"/>
        </w:rPr>
        <w:t xml:space="preserve">2) </w:t>
      </w:r>
      <w:r w:rsidR="00C17B73">
        <w:rPr>
          <w:rFonts w:ascii="Tahoma" w:hAnsi="Tahoma" w:cs="Tahoma"/>
          <w:szCs w:val="22"/>
        </w:rPr>
        <w:t xml:space="preserve">Η </w:t>
      </w:r>
      <w:r w:rsidRPr="00B337D5">
        <w:rPr>
          <w:rFonts w:ascii="Tahoma" w:hAnsi="Tahoma" w:cs="Tahoma"/>
          <w:szCs w:val="22"/>
        </w:rPr>
        <w:t>αποζημίωση που θα τους καταβληθεί</w:t>
      </w:r>
      <w:r w:rsidR="00C17B73">
        <w:rPr>
          <w:rFonts w:ascii="Tahoma" w:hAnsi="Tahoma" w:cs="Tahoma"/>
          <w:szCs w:val="22"/>
        </w:rPr>
        <w:t xml:space="preserve"> θα ανέλθει στο ποσό των 7.200,00€ (10% έκπτωση)</w:t>
      </w:r>
      <w:r w:rsidRPr="00B337D5">
        <w:rPr>
          <w:rFonts w:ascii="Tahoma" w:hAnsi="Tahoma" w:cs="Tahoma"/>
          <w:szCs w:val="22"/>
        </w:rPr>
        <w:t xml:space="preserve"> και θα βαρύνει τον ΚΑ 10-6115.003 του προϋπολογισμού του Δήμου οικονομικού έτους 2018 στον οποίο υπάρχει εγγεγραμμένη πίστωση 8.000,00 €.</w:t>
      </w:r>
    </w:p>
    <w:p w:rsidR="005A4535" w:rsidRPr="00377149" w:rsidRDefault="005A4535" w:rsidP="001426FB">
      <w:pPr>
        <w:pStyle w:val="af4"/>
        <w:spacing w:line="276" w:lineRule="auto"/>
        <w:jc w:val="both"/>
        <w:rPr>
          <w:rFonts w:ascii="Tahoma" w:hAnsi="Tahoma" w:cs="Tahoma"/>
          <w:szCs w:val="22"/>
        </w:rPr>
      </w:pPr>
    </w:p>
    <w:p w:rsidR="001426FB" w:rsidRPr="00B337D5" w:rsidRDefault="001426FB" w:rsidP="001426FB">
      <w:pPr>
        <w:pStyle w:val="af4"/>
        <w:spacing w:line="276" w:lineRule="auto"/>
        <w:jc w:val="both"/>
        <w:rPr>
          <w:rFonts w:ascii="Tahoma" w:hAnsi="Tahoma" w:cs="Tahoma"/>
          <w:szCs w:val="22"/>
        </w:rPr>
      </w:pPr>
      <w:r>
        <w:rPr>
          <w:rFonts w:ascii="Tahoma" w:hAnsi="Tahoma" w:cs="Tahoma"/>
          <w:szCs w:val="22"/>
        </w:rPr>
        <w:t xml:space="preserve">Β.- Μετά τον ορισμό των εκκαθαριστών </w:t>
      </w:r>
      <w:r w:rsidRPr="00B337D5">
        <w:rPr>
          <w:rFonts w:ascii="Tahoma" w:hAnsi="Tahoma" w:cs="Tahoma"/>
          <w:szCs w:val="22"/>
        </w:rPr>
        <w:t xml:space="preserve">παύει αυτοδίκαια η εξουσία των μελών του Διοικητικού Συμβουλίου και τις αρμοδιότητές του ασκούν οι εκκαθαριστές που </w:t>
      </w:r>
      <w:r>
        <w:rPr>
          <w:rFonts w:ascii="Tahoma" w:hAnsi="Tahoma" w:cs="Tahoma"/>
          <w:szCs w:val="22"/>
        </w:rPr>
        <w:t>ορίστηκαν</w:t>
      </w:r>
      <w:r w:rsidRPr="00B337D5">
        <w:rPr>
          <w:rFonts w:ascii="Tahoma" w:hAnsi="Tahoma" w:cs="Tahoma"/>
          <w:szCs w:val="22"/>
        </w:rPr>
        <w:t>.</w:t>
      </w:r>
    </w:p>
    <w:p w:rsidR="001426FB" w:rsidRPr="003568F9" w:rsidRDefault="001426FB" w:rsidP="001426FB">
      <w:pPr>
        <w:ind w:left="284" w:hanging="284"/>
        <w:jc w:val="both"/>
        <w:rPr>
          <w:rFonts w:ascii="Tahoma" w:hAnsi="Tahoma" w:cs="Tahoma"/>
          <w:sz w:val="22"/>
          <w:szCs w:val="22"/>
        </w:rPr>
      </w:pPr>
    </w:p>
    <w:p w:rsidR="001426FB" w:rsidRDefault="001426FB" w:rsidP="001426FB">
      <w:pPr>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1426FB" w:rsidRDefault="001426FB" w:rsidP="001426FB">
      <w:pPr>
        <w:rPr>
          <w:rFonts w:ascii="Tahoma" w:hAnsi="Tahoma" w:cs="Tahoma"/>
          <w:b/>
          <w:sz w:val="22"/>
          <w:szCs w:val="22"/>
        </w:rPr>
      </w:pPr>
      <w:r>
        <w:rPr>
          <w:rFonts w:ascii="Tahoma" w:hAnsi="Tahoma" w:cs="Tahoma"/>
          <w:b/>
          <w:sz w:val="22"/>
          <w:szCs w:val="22"/>
        </w:rPr>
        <w:t>Η απόφαση αυτή έλαβε αριθ.</w:t>
      </w:r>
      <w:r w:rsidR="00C17B73">
        <w:rPr>
          <w:rFonts w:ascii="Tahoma" w:hAnsi="Tahoma" w:cs="Tahoma"/>
          <w:b/>
          <w:sz w:val="22"/>
          <w:szCs w:val="22"/>
        </w:rPr>
        <w:t>300</w:t>
      </w:r>
      <w:r>
        <w:rPr>
          <w:rFonts w:ascii="Tahoma" w:hAnsi="Tahoma" w:cs="Tahoma"/>
          <w:b/>
          <w:sz w:val="22"/>
          <w:szCs w:val="22"/>
        </w:rPr>
        <w:t>/</w:t>
      </w:r>
      <w:r w:rsidR="00377149">
        <w:rPr>
          <w:rFonts w:ascii="Tahoma" w:hAnsi="Tahoma" w:cs="Tahoma"/>
          <w:b/>
          <w:sz w:val="22"/>
          <w:szCs w:val="22"/>
        </w:rPr>
        <w:t>2018</w:t>
      </w:r>
    </w:p>
    <w:p w:rsidR="001426FB" w:rsidRDefault="001426FB" w:rsidP="001426FB">
      <w:pPr>
        <w:pStyle w:val="a6"/>
        <w:rPr>
          <w:rFonts w:ascii="Tahoma" w:hAnsi="Tahoma"/>
          <w:b/>
          <w:sz w:val="22"/>
          <w:szCs w:val="22"/>
        </w:rPr>
      </w:pPr>
    </w:p>
    <w:p w:rsidR="001426FB" w:rsidRDefault="001426FB" w:rsidP="001426FB">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426FB" w:rsidRDefault="001426FB" w:rsidP="001426FB">
      <w:pPr>
        <w:pStyle w:val="a6"/>
        <w:spacing w:line="276" w:lineRule="auto"/>
        <w:jc w:val="center"/>
        <w:rPr>
          <w:rFonts w:ascii="Tahoma" w:hAnsi="Tahoma" w:cs="Tahoma"/>
          <w:b/>
          <w:sz w:val="22"/>
          <w:szCs w:val="22"/>
        </w:rPr>
      </w:pPr>
    </w:p>
    <w:p w:rsidR="001426FB" w:rsidRDefault="001426FB" w:rsidP="001426FB">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426FB" w:rsidRDefault="001426FB" w:rsidP="001426FB">
      <w:pPr>
        <w:pStyle w:val="a6"/>
        <w:rPr>
          <w:rFonts w:ascii="Tahoma" w:hAnsi="Tahoma" w:cs="Tahoma"/>
          <w:i/>
          <w:sz w:val="12"/>
          <w:szCs w:val="12"/>
        </w:rPr>
      </w:pPr>
      <w:r>
        <w:rPr>
          <w:rFonts w:ascii="Tahoma" w:hAnsi="Tahoma" w:cs="Tahoma"/>
          <w:i/>
          <w:sz w:val="12"/>
          <w:szCs w:val="12"/>
        </w:rPr>
        <w:t xml:space="preserve">ΑΚΡΙΒΕΣ ΑΝΤΙΓΡΑΦΟ                                                   </w:t>
      </w:r>
    </w:p>
    <w:p w:rsidR="001426FB" w:rsidRDefault="001426FB" w:rsidP="001426FB">
      <w:pPr>
        <w:pStyle w:val="a6"/>
        <w:rPr>
          <w:rFonts w:ascii="Tahoma" w:hAnsi="Tahoma" w:cs="Tahoma"/>
          <w:i/>
          <w:sz w:val="12"/>
          <w:szCs w:val="12"/>
        </w:rPr>
      </w:pPr>
      <w:r>
        <w:rPr>
          <w:rFonts w:ascii="Tahoma" w:hAnsi="Tahoma" w:cs="Tahoma"/>
          <w:i/>
          <w:sz w:val="12"/>
          <w:szCs w:val="12"/>
        </w:rPr>
        <w:t xml:space="preserve">      Άρτα αυθημερόν                                                 </w:t>
      </w:r>
    </w:p>
    <w:p w:rsidR="001426FB" w:rsidRDefault="001426FB" w:rsidP="001426FB">
      <w:pPr>
        <w:pStyle w:val="a6"/>
        <w:rPr>
          <w:rFonts w:ascii="Tahoma" w:hAnsi="Tahoma" w:cs="Tahoma"/>
          <w:i/>
          <w:sz w:val="12"/>
          <w:szCs w:val="12"/>
        </w:rPr>
      </w:pPr>
      <w:r>
        <w:rPr>
          <w:rFonts w:ascii="Tahoma" w:hAnsi="Tahoma" w:cs="Tahoma"/>
          <w:i/>
          <w:sz w:val="12"/>
          <w:szCs w:val="12"/>
        </w:rPr>
        <w:t xml:space="preserve">Ο Υπεύθυνος  Γραφείου </w:t>
      </w:r>
    </w:p>
    <w:p w:rsidR="001426FB" w:rsidRDefault="001426FB" w:rsidP="001426FB">
      <w:pPr>
        <w:pStyle w:val="a6"/>
        <w:rPr>
          <w:rFonts w:ascii="Tahoma" w:hAnsi="Tahoma" w:cs="Tahoma"/>
          <w:i/>
          <w:sz w:val="12"/>
          <w:szCs w:val="12"/>
        </w:rPr>
      </w:pPr>
    </w:p>
    <w:p w:rsidR="001426FB" w:rsidRDefault="001426FB" w:rsidP="001426FB">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A1C96" w:rsidRDefault="00CA1C96" w:rsidP="001426FB">
      <w:pPr>
        <w:spacing w:line="276" w:lineRule="auto"/>
        <w:jc w:val="both"/>
        <w:rPr>
          <w:rFonts w:ascii="Tahoma" w:hAnsi="Tahoma" w:cs="Tahoma"/>
          <w:b/>
          <w:sz w:val="12"/>
          <w:szCs w:val="12"/>
        </w:rPr>
      </w:pPr>
    </w:p>
    <w:sectPr w:rsidR="00CA1C96"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9D5" w:rsidRDefault="003769D5">
      <w:r>
        <w:separator/>
      </w:r>
    </w:p>
  </w:endnote>
  <w:endnote w:type="continuationSeparator" w:id="0">
    <w:p w:rsidR="003769D5" w:rsidRDefault="003769D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E779FE"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E779FE">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B83D73">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9D5" w:rsidRDefault="003769D5">
      <w:r>
        <w:separator/>
      </w:r>
    </w:p>
  </w:footnote>
  <w:footnote w:type="continuationSeparator" w:id="0">
    <w:p w:rsidR="003769D5" w:rsidRDefault="003769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8">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1">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9">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2">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0"/>
  </w:num>
  <w:num w:numId="5">
    <w:abstractNumId w:val="14"/>
  </w:num>
  <w:num w:numId="6">
    <w:abstractNumId w:val="4"/>
  </w:num>
  <w:num w:numId="7">
    <w:abstractNumId w:val="26"/>
  </w:num>
  <w:num w:numId="8">
    <w:abstractNumId w:val="18"/>
  </w:num>
  <w:num w:numId="9">
    <w:abstractNumId w:val="5"/>
  </w:num>
  <w:num w:numId="10">
    <w:abstractNumId w:val="17"/>
  </w:num>
  <w:num w:numId="11">
    <w:abstractNumId w:val="21"/>
  </w:num>
  <w:num w:numId="12">
    <w:abstractNumId w:val="3"/>
  </w:num>
  <w:num w:numId="13">
    <w:abstractNumId w:val="24"/>
  </w:num>
  <w:num w:numId="14">
    <w:abstractNumId w:val="6"/>
  </w:num>
  <w:num w:numId="15">
    <w:abstractNumId w:val="23"/>
  </w:num>
  <w:num w:numId="16">
    <w:abstractNumId w:val="13"/>
  </w:num>
  <w:num w:numId="17">
    <w:abstractNumId w:val="2"/>
  </w:num>
  <w:num w:numId="18">
    <w:abstractNumId w:val="19"/>
  </w:num>
  <w:num w:numId="19">
    <w:abstractNumId w:val="22"/>
  </w:num>
  <w:num w:numId="20">
    <w:abstractNumId w:val="11"/>
  </w:num>
  <w:num w:numId="21">
    <w:abstractNumId w:val="8"/>
  </w:num>
  <w:num w:numId="22">
    <w:abstractNumId w:val="9"/>
  </w:num>
  <w:num w:numId="23">
    <w:abstractNumId w:val="15"/>
  </w:num>
  <w:num w:numId="24">
    <w:abstractNumId w:val="12"/>
  </w:num>
  <w:num w:numId="25">
    <w:abstractNumId w:val="20"/>
  </w:num>
  <w:num w:numId="26">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170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69D5"/>
    <w:rsid w:val="00377149"/>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0A54"/>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66689"/>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4535"/>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3C14"/>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3D73"/>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3F2"/>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779FE"/>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E58298-A24B-4196-864A-CA2C5DBBB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1535</Words>
  <Characters>8289</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2018-05-31T05:38:00Z</cp:lastPrinted>
  <dcterms:created xsi:type="dcterms:W3CDTF">2018-05-24T05:40:00Z</dcterms:created>
  <dcterms:modified xsi:type="dcterms:W3CDTF">2018-05-31T05:38:00Z</dcterms:modified>
</cp:coreProperties>
</file>