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45"/>
      </w:tblGrid>
      <w:tr w:rsidR="004116B6" w:rsidTr="009F1280">
        <w:trPr>
          <w:trHeight w:val="113"/>
        </w:trPr>
        <w:tc>
          <w:tcPr>
            <w:tcW w:w="4395" w:type="dxa"/>
            <w:shd w:val="clear" w:color="auto" w:fill="D9D9D9" w:themeFill="background1" w:themeFillShade="D9"/>
          </w:tcPr>
          <w:p w:rsidR="004116B6" w:rsidRDefault="004116B6" w:rsidP="00EF381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w:t>
            </w:r>
            <w:r w:rsidR="00EF381A">
              <w:rPr>
                <w:rFonts w:ascii="Tahoma" w:hAnsi="Tahoma" w:cs="Tahoma"/>
                <w:b/>
                <w:bCs/>
                <w:sz w:val="22"/>
                <w:szCs w:val="22"/>
              </w:rPr>
              <w:t>6</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54C0D">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1280">
        <w:trPr>
          <w:trHeight w:val="940"/>
        </w:trPr>
        <w:tc>
          <w:tcPr>
            <w:tcW w:w="4395" w:type="dxa"/>
          </w:tcPr>
          <w:p w:rsidR="003C7C89" w:rsidRDefault="003C7C89" w:rsidP="003B1271">
            <w:pPr>
              <w:rPr>
                <w:rStyle w:val="af"/>
                <w:rFonts w:ascii="Tahoma" w:hAnsi="Tahoma" w:cs="Tahoma"/>
                <w:b/>
                <w:i w:val="0"/>
                <w:sz w:val="22"/>
                <w:szCs w:val="22"/>
              </w:rPr>
            </w:pPr>
          </w:p>
          <w:p w:rsidR="003C7C89" w:rsidRPr="00A3502F" w:rsidRDefault="00A3502F" w:rsidP="00A3502F">
            <w:pPr>
              <w:tabs>
                <w:tab w:val="left" w:pos="1157"/>
              </w:tabs>
              <w:rPr>
                <w:rStyle w:val="af"/>
                <w:rFonts w:ascii="Tahoma" w:hAnsi="Tahoma" w:cs="Tahoma"/>
                <w:b/>
                <w:i w:val="0"/>
                <w:sz w:val="22"/>
                <w:szCs w:val="22"/>
              </w:rPr>
            </w:pPr>
            <w:r>
              <w:rPr>
                <w:rFonts w:ascii="Tahoma" w:hAnsi="Tahoma" w:cs="Tahoma"/>
                <w:sz w:val="22"/>
                <w:szCs w:val="22"/>
              </w:rPr>
              <w:tab/>
            </w:r>
            <w:r w:rsidR="004052DD" w:rsidRPr="00A3502F">
              <w:rPr>
                <w:rStyle w:val="af"/>
                <w:rFonts w:ascii="Tahoma" w:hAnsi="Tahoma" w:cs="Tahoma"/>
                <w:b/>
                <w:i w:val="0"/>
                <w:sz w:val="22"/>
                <w:szCs w:val="22"/>
              </w:rPr>
              <w:t>ΑΔΑ: 6ΥΟΓΩΨΑ-ΔΛΕ</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4116B6" w:rsidRPr="00DA2270" w:rsidRDefault="00AC2C5A" w:rsidP="00DA2270">
            <w:pPr>
              <w:pStyle w:val="Normalgr"/>
              <w:tabs>
                <w:tab w:val="clear" w:pos="1021"/>
                <w:tab w:val="clear" w:pos="1588"/>
              </w:tabs>
              <w:overflowPunct w:val="0"/>
              <w:autoSpaceDE w:val="0"/>
              <w:spacing w:line="276" w:lineRule="auto"/>
              <w:jc w:val="left"/>
              <w:textAlignment w:val="baseline"/>
              <w:rPr>
                <w:rStyle w:val="af"/>
                <w:rFonts w:ascii="Tahoma" w:hAnsi="Tahoma" w:cs="Tahoma"/>
                <w:b/>
                <w:i w:val="0"/>
                <w:iCs w:val="0"/>
                <w:spacing w:val="0"/>
                <w:sz w:val="22"/>
                <w:szCs w:val="22"/>
                <w:lang w:val="el-GR"/>
              </w:rPr>
            </w:pPr>
            <w:r w:rsidRPr="00DA2270">
              <w:rPr>
                <w:rFonts w:ascii="Tahoma" w:hAnsi="Tahoma" w:cs="Tahoma"/>
                <w:b/>
                <w:spacing w:val="0"/>
                <w:sz w:val="22"/>
                <w:szCs w:val="22"/>
                <w:lang w:val="el-GR"/>
              </w:rPr>
              <w:t>«</w:t>
            </w:r>
            <w:r w:rsidR="00D54C0D" w:rsidRPr="00D54C0D">
              <w:rPr>
                <w:rFonts w:ascii="Tahoma" w:hAnsi="Tahoma" w:cs="Tahoma"/>
                <w:b/>
                <w:bCs/>
                <w:color w:val="000000"/>
                <w:spacing w:val="0"/>
                <w:kern w:val="22"/>
                <w:sz w:val="22"/>
                <w:szCs w:val="22"/>
                <w:lang w:val="el-GR"/>
              </w:rPr>
              <w:t>Διενέργεια διαγωνισμού για προμήθεια οχημάτων</w:t>
            </w:r>
            <w:r w:rsidR="00E974FA" w:rsidRPr="00DA2270">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C32123" w:rsidRPr="003C4D58" w:rsidRDefault="00C32123" w:rsidP="00C32123">
      <w:pPr>
        <w:spacing w:line="276" w:lineRule="auto"/>
        <w:jc w:val="both"/>
        <w:rPr>
          <w:rFonts w:ascii="Tahoma" w:hAnsi="Tahoma" w:cs="Tahoma"/>
          <w:sz w:val="22"/>
          <w:szCs w:val="22"/>
        </w:rPr>
      </w:pPr>
      <w:r w:rsidRPr="009A6A07">
        <w:rPr>
          <w:rFonts w:ascii="Tahoma" w:hAnsi="Tahoma" w:cs="Tahoma"/>
          <w:kern w:val="22"/>
          <w:sz w:val="22"/>
          <w:szCs w:val="22"/>
          <w:shd w:val="clear" w:color="auto" w:fill="FFFFFF"/>
        </w:rPr>
        <w:lastRenderedPageBreak/>
        <w:t>Ο Πρόεδρος κήρυξε την έναρξη της συνεδρίασης και εισηγούμενος το 1</w:t>
      </w:r>
      <w:r>
        <w:rPr>
          <w:rFonts w:ascii="Tahoma" w:hAnsi="Tahoma" w:cs="Tahoma"/>
          <w:kern w:val="22"/>
          <w:sz w:val="22"/>
          <w:szCs w:val="22"/>
          <w:shd w:val="clear" w:color="auto" w:fill="FFFFFF"/>
        </w:rPr>
        <w:t>4</w:t>
      </w:r>
      <w:r w:rsidRPr="009A6A07">
        <w:rPr>
          <w:rFonts w:ascii="Tahoma" w:hAnsi="Tahoma" w:cs="Tahoma"/>
          <w:kern w:val="22"/>
          <w:sz w:val="22"/>
          <w:szCs w:val="22"/>
          <w:shd w:val="clear" w:color="auto" w:fill="FFFFFF"/>
          <w:vertAlign w:val="superscript"/>
        </w:rPr>
        <w:t>ο</w:t>
      </w:r>
      <w:r w:rsidRPr="009A6A07">
        <w:rPr>
          <w:rFonts w:ascii="Tahoma" w:hAnsi="Tahoma" w:cs="Tahoma"/>
          <w:kern w:val="22"/>
          <w:sz w:val="22"/>
          <w:szCs w:val="22"/>
          <w:shd w:val="clear" w:color="auto" w:fill="FFFFFF"/>
        </w:rPr>
        <w:t xml:space="preserve">  τακτικό θέμα της ημερήσιας διάταξης</w:t>
      </w:r>
      <w:r w:rsidRPr="009A6A07">
        <w:rPr>
          <w:rFonts w:ascii="Tahoma" w:hAnsi="Tahoma" w:cs="Tahoma"/>
          <w:sz w:val="22"/>
          <w:szCs w:val="22"/>
          <w:shd w:val="clear" w:color="auto" w:fill="FFFFFF"/>
        </w:rPr>
        <w:t xml:space="preserve"> «</w:t>
      </w:r>
      <w:r w:rsidRPr="009A6A07">
        <w:rPr>
          <w:rFonts w:ascii="Tahoma" w:hAnsi="Tahoma" w:cs="Tahoma"/>
          <w:bCs/>
          <w:color w:val="000000"/>
        </w:rPr>
        <w:t>Διενέργεια διαγωνισμού για προμήθεια οχημάτων</w:t>
      </w:r>
      <w:r w:rsidRPr="003C4D58">
        <w:rPr>
          <w:rFonts w:ascii="Tahoma" w:hAnsi="Tahoma" w:cs="Tahoma"/>
          <w:sz w:val="22"/>
          <w:szCs w:val="22"/>
        </w:rPr>
        <w:t>»</w:t>
      </w:r>
      <w:r w:rsidRPr="003C4D58">
        <w:rPr>
          <w:rFonts w:ascii="Tahoma" w:hAnsi="Tahoma" w:cs="Tahoma"/>
          <w:kern w:val="22"/>
          <w:sz w:val="22"/>
          <w:szCs w:val="22"/>
        </w:rPr>
        <w:t xml:space="preserve"> </w:t>
      </w:r>
      <w:r w:rsidRPr="003C4D58">
        <w:rPr>
          <w:rFonts w:ascii="Tahoma" w:hAnsi="Tahoma" w:cs="Tahoma"/>
          <w:sz w:val="22"/>
          <w:szCs w:val="22"/>
        </w:rPr>
        <w:t xml:space="preserve">έδωσε το λόγο στον Αντιδήμαρχο κ. Χριστόφορο </w:t>
      </w:r>
      <w:proofErr w:type="spellStart"/>
      <w:r w:rsidRPr="003C4D58">
        <w:rPr>
          <w:rFonts w:ascii="Tahoma" w:hAnsi="Tahoma" w:cs="Tahoma"/>
          <w:sz w:val="22"/>
          <w:szCs w:val="22"/>
        </w:rPr>
        <w:t>Σιαφάκα</w:t>
      </w:r>
      <w:proofErr w:type="spellEnd"/>
      <w:r w:rsidRPr="003C4D58">
        <w:rPr>
          <w:rFonts w:ascii="Tahoma" w:hAnsi="Tahoma" w:cs="Tahoma"/>
          <w:sz w:val="22"/>
          <w:szCs w:val="22"/>
        </w:rPr>
        <w:t xml:space="preserve"> ο οποίος παίρνοντας το λόγο έθεσε υπόψη του Συμβουλίου τα εξής:</w:t>
      </w:r>
    </w:p>
    <w:p w:rsidR="00C32123" w:rsidRDefault="00C32123" w:rsidP="00C32123">
      <w:pPr>
        <w:jc w:val="both"/>
        <w:rPr>
          <w:rFonts w:ascii="Arial" w:hAnsi="Arial" w:cs="Arial"/>
          <w:color w:val="000000"/>
          <w:sz w:val="14"/>
          <w:szCs w:val="14"/>
          <w:shd w:val="clear" w:color="auto" w:fill="FFFFFF"/>
        </w:rPr>
      </w:pPr>
    </w:p>
    <w:p w:rsidR="00C32123" w:rsidRPr="00E50CB3" w:rsidRDefault="00C32123" w:rsidP="00C32123">
      <w:pPr>
        <w:spacing w:line="276" w:lineRule="auto"/>
        <w:rPr>
          <w:rFonts w:ascii="Tahoma" w:hAnsi="Tahoma" w:cs="Tahoma"/>
          <w:sz w:val="22"/>
          <w:szCs w:val="22"/>
        </w:rPr>
      </w:pPr>
      <w:r>
        <w:rPr>
          <w:rFonts w:ascii="Tahoma" w:hAnsi="Tahoma" w:cs="Tahoma"/>
          <w:sz w:val="22"/>
          <w:szCs w:val="22"/>
        </w:rPr>
        <w:t xml:space="preserve">      </w:t>
      </w:r>
      <w:r w:rsidRPr="00E50CB3">
        <w:rPr>
          <w:rFonts w:ascii="Tahoma" w:hAnsi="Tahoma" w:cs="Tahoma"/>
          <w:sz w:val="22"/>
          <w:szCs w:val="22"/>
        </w:rPr>
        <w:t>Έχοντας υπ’ όψη τα εξής :</w:t>
      </w:r>
    </w:p>
    <w:p w:rsidR="00C32123" w:rsidRPr="00E50CB3" w:rsidRDefault="00C32123" w:rsidP="00C32123">
      <w:pPr>
        <w:numPr>
          <w:ilvl w:val="0"/>
          <w:numId w:val="33"/>
        </w:numPr>
        <w:spacing w:line="276" w:lineRule="auto"/>
        <w:rPr>
          <w:rFonts w:ascii="Tahoma" w:hAnsi="Tahoma" w:cs="Tahoma"/>
          <w:sz w:val="22"/>
          <w:szCs w:val="22"/>
        </w:rPr>
      </w:pPr>
      <w:r w:rsidRPr="00E50CB3">
        <w:rPr>
          <w:rFonts w:ascii="Tahoma" w:hAnsi="Tahoma" w:cs="Tahoma"/>
          <w:sz w:val="22"/>
          <w:szCs w:val="22"/>
        </w:rPr>
        <w:t>Τις διατάξεις των Ν.3852/2010 και Ν.4412/2016</w:t>
      </w:r>
    </w:p>
    <w:p w:rsidR="00C32123" w:rsidRPr="00E50CB3" w:rsidRDefault="00C32123" w:rsidP="00C32123">
      <w:pPr>
        <w:numPr>
          <w:ilvl w:val="0"/>
          <w:numId w:val="33"/>
        </w:numPr>
        <w:spacing w:line="276" w:lineRule="auto"/>
        <w:rPr>
          <w:rFonts w:ascii="Tahoma" w:hAnsi="Tahoma" w:cs="Tahoma"/>
          <w:sz w:val="22"/>
          <w:szCs w:val="22"/>
        </w:rPr>
      </w:pPr>
      <w:r w:rsidRPr="00E50CB3">
        <w:rPr>
          <w:rFonts w:ascii="Tahoma" w:hAnsi="Tahoma" w:cs="Tahoma"/>
          <w:sz w:val="22"/>
          <w:szCs w:val="22"/>
        </w:rPr>
        <w:t>Τους Κ.Α. 30-7132.002 και 35-7132.001 έτους 2018</w:t>
      </w:r>
    </w:p>
    <w:p w:rsidR="00C32123" w:rsidRPr="00E50CB3" w:rsidRDefault="00C32123" w:rsidP="00C32123">
      <w:pPr>
        <w:numPr>
          <w:ilvl w:val="0"/>
          <w:numId w:val="33"/>
        </w:numPr>
        <w:spacing w:line="276" w:lineRule="auto"/>
        <w:rPr>
          <w:rFonts w:ascii="Tahoma" w:hAnsi="Tahoma" w:cs="Tahoma"/>
          <w:sz w:val="22"/>
          <w:szCs w:val="22"/>
        </w:rPr>
      </w:pPr>
      <w:r w:rsidRPr="00E50CB3">
        <w:rPr>
          <w:rFonts w:ascii="Tahoma" w:hAnsi="Tahoma" w:cs="Tahoma"/>
          <w:sz w:val="22"/>
          <w:szCs w:val="22"/>
        </w:rPr>
        <w:t>Τις διαγωνιστικές διαδικασίες έτους 2017</w:t>
      </w:r>
    </w:p>
    <w:p w:rsidR="00C32123" w:rsidRPr="00E50CB3" w:rsidRDefault="00C32123" w:rsidP="00C32123">
      <w:pPr>
        <w:spacing w:line="276" w:lineRule="auto"/>
        <w:rPr>
          <w:rFonts w:ascii="Tahoma" w:hAnsi="Tahoma" w:cs="Tahoma"/>
          <w:sz w:val="22"/>
          <w:szCs w:val="22"/>
        </w:rPr>
      </w:pPr>
    </w:p>
    <w:p w:rsidR="00C32123" w:rsidRPr="00E50CB3" w:rsidRDefault="00C32123" w:rsidP="00C32123">
      <w:pPr>
        <w:spacing w:line="276" w:lineRule="auto"/>
        <w:ind w:firstLine="360"/>
        <w:jc w:val="both"/>
        <w:rPr>
          <w:rFonts w:ascii="Tahoma" w:hAnsi="Tahoma" w:cs="Tahoma"/>
          <w:sz w:val="22"/>
          <w:szCs w:val="22"/>
        </w:rPr>
      </w:pPr>
      <w:r w:rsidRPr="00E50CB3">
        <w:rPr>
          <w:rFonts w:ascii="Tahoma" w:hAnsi="Tahoma" w:cs="Tahoma"/>
          <w:sz w:val="22"/>
          <w:szCs w:val="22"/>
        </w:rPr>
        <w:t>Στον προϋπολογισμό του έτους 2018 έχουν εγγραφεί πιστώσεις που αφορούν την προμήθεια οχημάτων.  Συγκεκριμένα στις υπηρεσίες πρασίνου και τεχνικής υπηρεσίες έχουν εγγραφεί πιστώσεις συνολικού ύψους 95.360,00 € για τα εξής:</w:t>
      </w:r>
    </w:p>
    <w:p w:rsidR="00C32123" w:rsidRPr="00E50CB3" w:rsidRDefault="00C32123" w:rsidP="00C32123">
      <w:pPr>
        <w:numPr>
          <w:ilvl w:val="0"/>
          <w:numId w:val="34"/>
        </w:numPr>
        <w:spacing w:line="276" w:lineRule="auto"/>
        <w:jc w:val="both"/>
        <w:rPr>
          <w:rFonts w:ascii="Tahoma" w:hAnsi="Tahoma" w:cs="Tahoma"/>
          <w:sz w:val="22"/>
          <w:szCs w:val="22"/>
        </w:rPr>
      </w:pPr>
      <w:r w:rsidRPr="00E50CB3">
        <w:rPr>
          <w:rFonts w:ascii="Tahoma" w:hAnsi="Tahoma" w:cs="Tahoma"/>
          <w:sz w:val="22"/>
          <w:szCs w:val="22"/>
        </w:rPr>
        <w:t xml:space="preserve">Στον 30-7132.002 ποσό 50.360,00 € για την προμήθεια δύο επιβατικών οχημάτων και ενός ημιφορτηγού τύπου </w:t>
      </w:r>
      <w:r w:rsidRPr="00E50CB3">
        <w:rPr>
          <w:rFonts w:ascii="Tahoma" w:hAnsi="Tahoma" w:cs="Tahoma"/>
          <w:sz w:val="22"/>
          <w:szCs w:val="22"/>
          <w:lang w:val="en-US"/>
        </w:rPr>
        <w:t>pick</w:t>
      </w:r>
      <w:r w:rsidRPr="00E50CB3">
        <w:rPr>
          <w:rFonts w:ascii="Tahoma" w:hAnsi="Tahoma" w:cs="Tahoma"/>
          <w:sz w:val="22"/>
          <w:szCs w:val="22"/>
        </w:rPr>
        <w:t xml:space="preserve"> </w:t>
      </w:r>
      <w:r w:rsidRPr="00E50CB3">
        <w:rPr>
          <w:rFonts w:ascii="Tahoma" w:hAnsi="Tahoma" w:cs="Tahoma"/>
          <w:sz w:val="22"/>
          <w:szCs w:val="22"/>
          <w:lang w:val="en-US"/>
        </w:rPr>
        <w:t>up</w:t>
      </w:r>
      <w:r w:rsidRPr="00E50CB3">
        <w:rPr>
          <w:rFonts w:ascii="Tahoma" w:hAnsi="Tahoma" w:cs="Tahoma"/>
          <w:sz w:val="22"/>
          <w:szCs w:val="22"/>
        </w:rPr>
        <w:t>.</w:t>
      </w:r>
    </w:p>
    <w:p w:rsidR="00C32123" w:rsidRPr="00E50CB3" w:rsidRDefault="00C32123" w:rsidP="00C32123">
      <w:pPr>
        <w:numPr>
          <w:ilvl w:val="0"/>
          <w:numId w:val="34"/>
        </w:numPr>
        <w:spacing w:line="276" w:lineRule="auto"/>
        <w:jc w:val="both"/>
        <w:rPr>
          <w:rFonts w:ascii="Tahoma" w:hAnsi="Tahoma" w:cs="Tahoma"/>
          <w:sz w:val="22"/>
          <w:szCs w:val="22"/>
        </w:rPr>
      </w:pPr>
      <w:r w:rsidRPr="00E50CB3">
        <w:rPr>
          <w:rFonts w:ascii="Tahoma" w:hAnsi="Tahoma" w:cs="Tahoma"/>
          <w:sz w:val="22"/>
          <w:szCs w:val="22"/>
        </w:rPr>
        <w:t>Στον 35-7132.001 ποσό 45.000,00 € για την προμήθεια ενός μεταχειρισμένου φορτηγού.</w:t>
      </w:r>
    </w:p>
    <w:p w:rsidR="00C32123" w:rsidRPr="00E50CB3" w:rsidRDefault="00C32123" w:rsidP="00C32123">
      <w:pPr>
        <w:spacing w:line="276" w:lineRule="auto"/>
        <w:ind w:firstLine="360"/>
        <w:jc w:val="both"/>
        <w:rPr>
          <w:rFonts w:ascii="Tahoma" w:hAnsi="Tahoma" w:cs="Tahoma"/>
          <w:sz w:val="22"/>
          <w:szCs w:val="22"/>
        </w:rPr>
      </w:pPr>
      <w:r w:rsidRPr="00E50CB3">
        <w:rPr>
          <w:rFonts w:ascii="Tahoma" w:hAnsi="Tahoma" w:cs="Tahoma"/>
          <w:sz w:val="22"/>
          <w:szCs w:val="22"/>
        </w:rPr>
        <w:t xml:space="preserve"> Βάσει των διατάξεων του Ν.3852/2010 (άρθρο 65 παρ. 1) το Δημοτικό Συμβούλιο θα πρέπει να αποφασίζει για την διενέργεια των ανοικτών διαγωνισμών.  Με δεδομένο ότι για τα συγκεκριμένα οχήματα οι διαγωνιστικές διαδικασίες του έτους 2017 δεν είχαν αποτέλεσμα, θα πρέπει να γίνει ένας νέος ενιαίος διαγωνισμός.</w:t>
      </w:r>
    </w:p>
    <w:p w:rsidR="00C32123" w:rsidRPr="00E50CB3" w:rsidRDefault="00C32123" w:rsidP="00C32123">
      <w:pPr>
        <w:spacing w:line="276" w:lineRule="auto"/>
        <w:ind w:firstLine="360"/>
        <w:jc w:val="both"/>
        <w:rPr>
          <w:rFonts w:ascii="Tahoma" w:hAnsi="Tahoma" w:cs="Tahoma"/>
          <w:sz w:val="22"/>
          <w:szCs w:val="22"/>
        </w:rPr>
      </w:pPr>
      <w:r w:rsidRPr="00E50CB3">
        <w:rPr>
          <w:rFonts w:ascii="Tahoma" w:hAnsi="Tahoma" w:cs="Tahoma"/>
          <w:sz w:val="22"/>
          <w:szCs w:val="22"/>
        </w:rPr>
        <w:t>Λαμβάνοντας υπ’ όψη τα προαναφερόμενα εισηγούμαι την διενέργεια ανοικτού ηλεκτρονικού διαγωνισμού βάσει των διατάξεων του Ν.4412/2016, για την προμήθεια οχημάτων της τεχνικής υπηρεσίας και του πρασίνου έτους 2018.</w:t>
      </w:r>
    </w:p>
    <w:p w:rsidR="00C32123" w:rsidRDefault="00C32123" w:rsidP="00C32123">
      <w:pPr>
        <w:spacing w:line="276" w:lineRule="auto"/>
        <w:rPr>
          <w:rFonts w:ascii="Arial" w:hAnsi="Arial" w:cs="Arial"/>
          <w:color w:val="000000"/>
          <w:sz w:val="14"/>
          <w:szCs w:val="14"/>
          <w:shd w:val="clear" w:color="auto" w:fill="FFFFFF"/>
        </w:rPr>
      </w:pPr>
    </w:p>
    <w:p w:rsidR="00C32123" w:rsidRPr="00E22EF6" w:rsidRDefault="00C32123" w:rsidP="00C32123">
      <w:pPr>
        <w:jc w:val="both"/>
        <w:rPr>
          <w:rFonts w:ascii="Tahoma" w:hAnsi="Tahoma" w:cs="Tahoma"/>
          <w:sz w:val="22"/>
          <w:szCs w:val="22"/>
        </w:rPr>
      </w:pPr>
    </w:p>
    <w:p w:rsidR="00C32123" w:rsidRDefault="00C32123" w:rsidP="00C32123">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32123" w:rsidRPr="00A439F8" w:rsidRDefault="00C32123" w:rsidP="00C32123">
      <w:pPr>
        <w:spacing w:line="276" w:lineRule="auto"/>
        <w:jc w:val="both"/>
        <w:rPr>
          <w:rFonts w:ascii="Tahoma" w:hAnsi="Tahoma" w:cs="Tahoma"/>
          <w:sz w:val="22"/>
          <w:szCs w:val="22"/>
        </w:rPr>
      </w:pPr>
    </w:p>
    <w:p w:rsidR="00C32123" w:rsidRDefault="00C32123" w:rsidP="00C32123">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32123" w:rsidRPr="004C49B9" w:rsidRDefault="00C32123" w:rsidP="00C32123">
      <w:pPr>
        <w:spacing w:line="276" w:lineRule="auto"/>
        <w:jc w:val="both"/>
        <w:rPr>
          <w:rFonts w:ascii="Tahoma" w:hAnsi="Tahoma" w:cs="Tahoma"/>
          <w:b/>
          <w:color w:val="000000"/>
          <w:sz w:val="22"/>
          <w:szCs w:val="22"/>
        </w:rPr>
      </w:pPr>
    </w:p>
    <w:p w:rsidR="00C32123" w:rsidRPr="00650C70" w:rsidRDefault="00C32123" w:rsidP="00C32123">
      <w:pPr>
        <w:rPr>
          <w:rStyle w:val="af"/>
          <w:rFonts w:ascii="Tahoma" w:hAnsi="Tahoma" w:cs="Tahoma"/>
          <w:i w:val="0"/>
          <w:sz w:val="22"/>
          <w:szCs w:val="22"/>
        </w:rPr>
      </w:pPr>
      <w:r>
        <w:rPr>
          <w:rStyle w:val="af"/>
          <w:rFonts w:ascii="Tahoma" w:hAnsi="Tahoma" w:cs="Tahoma"/>
          <w:sz w:val="22"/>
          <w:szCs w:val="22"/>
        </w:rPr>
        <w:t xml:space="preserve">      </w:t>
      </w:r>
      <w:r w:rsidR="00EF381A">
        <w:rPr>
          <w:rStyle w:val="af"/>
          <w:rFonts w:ascii="Tahoma" w:hAnsi="Tahoma" w:cs="Tahoma"/>
          <w:sz w:val="22"/>
          <w:szCs w:val="22"/>
        </w:rPr>
        <w:t xml:space="preserve">             </w:t>
      </w: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sidR="00EF381A">
        <w:rPr>
          <w:rStyle w:val="af"/>
          <w:rFonts w:ascii="Tahoma" w:hAnsi="Tahoma" w:cs="Tahoma"/>
          <w:i w:val="0"/>
          <w:sz w:val="22"/>
          <w:szCs w:val="22"/>
        </w:rPr>
        <w:t>εισήγηση</w:t>
      </w:r>
    </w:p>
    <w:p w:rsidR="00C32123" w:rsidRPr="00595539" w:rsidRDefault="00C32123" w:rsidP="00C32123">
      <w:pPr>
        <w:rPr>
          <w:rStyle w:val="af"/>
          <w:rFonts w:ascii="Tahoma" w:hAnsi="Tahoma" w:cs="Tahoma"/>
          <w:i w:val="0"/>
          <w:sz w:val="22"/>
          <w:szCs w:val="22"/>
        </w:rPr>
      </w:pPr>
      <w:r w:rsidRPr="00595539">
        <w:rPr>
          <w:rStyle w:val="af"/>
          <w:rFonts w:ascii="Tahoma" w:hAnsi="Tahoma" w:cs="Tahoma"/>
          <w:sz w:val="22"/>
          <w:szCs w:val="22"/>
        </w:rPr>
        <w:t xml:space="preserve"> </w:t>
      </w:r>
    </w:p>
    <w:p w:rsidR="00C32123" w:rsidRPr="00650C70" w:rsidRDefault="00C32123" w:rsidP="00C32123">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C32123" w:rsidRPr="00595539" w:rsidRDefault="00C32123" w:rsidP="00C32123">
      <w:pPr>
        <w:rPr>
          <w:rStyle w:val="af"/>
          <w:rFonts w:ascii="Tahoma" w:hAnsi="Tahoma" w:cs="Tahoma"/>
          <w:b/>
          <w:i w:val="0"/>
          <w:sz w:val="22"/>
          <w:szCs w:val="22"/>
        </w:rPr>
      </w:pPr>
    </w:p>
    <w:p w:rsidR="00C32123" w:rsidRPr="00E50CB3" w:rsidRDefault="00C32123" w:rsidP="00C32123">
      <w:pPr>
        <w:spacing w:line="276" w:lineRule="auto"/>
        <w:ind w:firstLine="360"/>
        <w:jc w:val="both"/>
        <w:rPr>
          <w:rFonts w:ascii="Tahoma" w:hAnsi="Tahoma" w:cs="Tahoma"/>
          <w:sz w:val="22"/>
          <w:szCs w:val="22"/>
        </w:rPr>
      </w:pPr>
      <w:r w:rsidRPr="00650C70">
        <w:rPr>
          <w:rStyle w:val="af"/>
          <w:rFonts w:ascii="Tahoma" w:hAnsi="Tahoma" w:cs="Tahoma"/>
          <w:i w:val="0"/>
          <w:sz w:val="22"/>
          <w:szCs w:val="22"/>
        </w:rPr>
        <w:t>Α.-</w:t>
      </w:r>
      <w:r w:rsidRPr="00595539">
        <w:rPr>
          <w:rStyle w:val="af"/>
          <w:rFonts w:ascii="Tahoma" w:hAnsi="Tahoma" w:cs="Tahoma"/>
          <w:sz w:val="22"/>
          <w:szCs w:val="22"/>
        </w:rPr>
        <w:t xml:space="preserve"> </w:t>
      </w:r>
      <w:r w:rsidRPr="00BC41C3">
        <w:rPr>
          <w:rFonts w:ascii="Tahoma" w:hAnsi="Tahoma" w:cs="Tahoma"/>
          <w:sz w:val="22"/>
          <w:szCs w:val="22"/>
          <w:shd w:val="clear" w:color="auto" w:fill="FFFFFF"/>
        </w:rPr>
        <w:t xml:space="preserve"> Τη</w:t>
      </w:r>
      <w:r>
        <w:rPr>
          <w:rFonts w:ascii="Tahoma" w:hAnsi="Tahoma" w:cs="Tahoma"/>
          <w:sz w:val="22"/>
          <w:szCs w:val="22"/>
          <w:shd w:val="clear" w:color="auto" w:fill="FFFFFF"/>
        </w:rPr>
        <w:t>ν</w:t>
      </w:r>
      <w:r w:rsidRPr="00BC41C3">
        <w:rPr>
          <w:rFonts w:ascii="Tahoma" w:hAnsi="Tahoma" w:cs="Tahoma"/>
          <w:sz w:val="22"/>
          <w:szCs w:val="22"/>
          <w:shd w:val="clear" w:color="auto" w:fill="FFFFFF"/>
        </w:rPr>
        <w:t xml:space="preserve"> </w:t>
      </w:r>
      <w:r w:rsidRPr="00BF2339">
        <w:rPr>
          <w:rFonts w:ascii="Tahoma" w:hAnsi="Tahoma" w:cs="Tahoma"/>
          <w:sz w:val="22"/>
          <w:szCs w:val="22"/>
        </w:rPr>
        <w:t xml:space="preserve"> </w:t>
      </w:r>
      <w:r w:rsidRPr="00E50CB3">
        <w:rPr>
          <w:rFonts w:ascii="Tahoma" w:hAnsi="Tahoma" w:cs="Tahoma"/>
          <w:sz w:val="22"/>
          <w:szCs w:val="22"/>
        </w:rPr>
        <w:t xml:space="preserve">διενέργεια ανοικτού </w:t>
      </w:r>
      <w:r w:rsidR="00437D6C">
        <w:rPr>
          <w:rFonts w:ascii="Tahoma" w:hAnsi="Tahoma" w:cs="Tahoma"/>
          <w:sz w:val="22"/>
          <w:szCs w:val="22"/>
        </w:rPr>
        <w:t xml:space="preserve">διεθνή </w:t>
      </w:r>
      <w:r w:rsidRPr="00E50CB3">
        <w:rPr>
          <w:rFonts w:ascii="Tahoma" w:hAnsi="Tahoma" w:cs="Tahoma"/>
          <w:sz w:val="22"/>
          <w:szCs w:val="22"/>
        </w:rPr>
        <w:t>ηλεκτρονικού διαγωνισμού βάσει των διατάξεων του Ν.4412/2016, για την προμήθεια οχημάτων της τεχνικής υπηρεσίας και του πρασίνου έτους 2018.</w:t>
      </w:r>
    </w:p>
    <w:p w:rsidR="00C32123" w:rsidRDefault="00C32123" w:rsidP="00C32123">
      <w:pPr>
        <w:spacing w:line="276" w:lineRule="auto"/>
        <w:ind w:firstLine="360"/>
        <w:jc w:val="both"/>
        <w:rPr>
          <w:rFonts w:ascii="Tahoma" w:hAnsi="Tahoma" w:cs="Tahoma"/>
          <w:sz w:val="22"/>
          <w:szCs w:val="22"/>
        </w:rPr>
      </w:pPr>
    </w:p>
    <w:p w:rsidR="00C32123" w:rsidRPr="00543D1C" w:rsidRDefault="00C32123" w:rsidP="00D54C0D">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C32123" w:rsidRPr="00986126" w:rsidRDefault="00C32123" w:rsidP="00C32123">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EF381A">
        <w:rPr>
          <w:rStyle w:val="af"/>
          <w:rFonts w:ascii="Tahoma" w:hAnsi="Tahoma" w:cs="Tahoma"/>
          <w:b/>
          <w:i w:val="0"/>
          <w:sz w:val="22"/>
          <w:szCs w:val="22"/>
        </w:rPr>
        <w:t xml:space="preserve"> 116</w:t>
      </w:r>
      <w:r w:rsidRPr="00986126">
        <w:rPr>
          <w:rStyle w:val="af"/>
          <w:rFonts w:ascii="Tahoma" w:hAnsi="Tahoma" w:cs="Tahoma"/>
          <w:b/>
          <w:i w:val="0"/>
          <w:sz w:val="22"/>
          <w:szCs w:val="22"/>
        </w:rPr>
        <w:t>/2018</w:t>
      </w:r>
    </w:p>
    <w:p w:rsidR="00C32123" w:rsidRPr="007F6ED1" w:rsidRDefault="00C32123" w:rsidP="00C32123">
      <w:pPr>
        <w:pStyle w:val="a4"/>
        <w:spacing w:line="276" w:lineRule="auto"/>
        <w:jc w:val="both"/>
        <w:rPr>
          <w:rFonts w:ascii="Tahoma" w:hAnsi="Tahoma" w:cs="Tahoma"/>
          <w:b/>
          <w:sz w:val="22"/>
          <w:szCs w:val="22"/>
        </w:rPr>
      </w:pPr>
    </w:p>
    <w:p w:rsidR="00C32123" w:rsidRPr="007F6ED1" w:rsidRDefault="00C32123" w:rsidP="00C32123">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32123" w:rsidRPr="007F6ED1" w:rsidRDefault="00C32123" w:rsidP="00C32123">
      <w:pPr>
        <w:pStyle w:val="a4"/>
        <w:spacing w:line="276" w:lineRule="auto"/>
        <w:jc w:val="center"/>
        <w:rPr>
          <w:rFonts w:ascii="Tahoma" w:hAnsi="Tahoma" w:cs="Tahoma"/>
          <w:b/>
          <w:sz w:val="22"/>
          <w:szCs w:val="22"/>
        </w:rPr>
      </w:pPr>
    </w:p>
    <w:p w:rsidR="00C32123" w:rsidRPr="007F6ED1" w:rsidRDefault="00C32123" w:rsidP="00C32123">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32123" w:rsidRPr="007B1C83" w:rsidRDefault="00C32123" w:rsidP="00C32123">
      <w:pPr>
        <w:rPr>
          <w:rFonts w:ascii="Tahoma" w:hAnsi="Tahoma" w:cs="Tahoma"/>
          <w:b/>
          <w:sz w:val="12"/>
          <w:szCs w:val="12"/>
        </w:rPr>
      </w:pPr>
      <w:r w:rsidRPr="007B1C83">
        <w:rPr>
          <w:rFonts w:ascii="Tahoma" w:hAnsi="Tahoma" w:cs="Tahoma"/>
          <w:b/>
          <w:sz w:val="12"/>
          <w:szCs w:val="12"/>
        </w:rPr>
        <w:t xml:space="preserve">ΑΚΡΙΒΕΣ ΑΝΤΙΓΡΑΦΟ                                                   </w:t>
      </w:r>
    </w:p>
    <w:p w:rsidR="00C32123" w:rsidRPr="007B1C83" w:rsidRDefault="00C32123" w:rsidP="00C32123">
      <w:pPr>
        <w:rPr>
          <w:rFonts w:ascii="Tahoma" w:hAnsi="Tahoma" w:cs="Tahoma"/>
          <w:b/>
          <w:sz w:val="12"/>
          <w:szCs w:val="12"/>
        </w:rPr>
      </w:pPr>
      <w:r w:rsidRPr="007B1C83">
        <w:rPr>
          <w:rFonts w:ascii="Tahoma" w:hAnsi="Tahoma" w:cs="Tahoma"/>
          <w:b/>
          <w:sz w:val="12"/>
          <w:szCs w:val="12"/>
        </w:rPr>
        <w:t xml:space="preserve">      Άρτα αυθημερόν                                                 </w:t>
      </w:r>
    </w:p>
    <w:p w:rsidR="00C32123" w:rsidRPr="007B1C83" w:rsidRDefault="00C32123" w:rsidP="00C32123">
      <w:pPr>
        <w:rPr>
          <w:rFonts w:ascii="Tahoma" w:hAnsi="Tahoma" w:cs="Tahoma"/>
          <w:b/>
          <w:sz w:val="12"/>
          <w:szCs w:val="12"/>
        </w:rPr>
      </w:pPr>
      <w:r w:rsidRPr="007B1C83">
        <w:rPr>
          <w:rFonts w:ascii="Tahoma" w:hAnsi="Tahoma" w:cs="Tahoma"/>
          <w:b/>
          <w:sz w:val="12"/>
          <w:szCs w:val="12"/>
        </w:rPr>
        <w:t xml:space="preserve">Ο Υπεύθυνος  Γραφείου </w:t>
      </w:r>
    </w:p>
    <w:p w:rsidR="00C32123" w:rsidRPr="007B1C83" w:rsidRDefault="00C32123" w:rsidP="00C32123">
      <w:pPr>
        <w:rPr>
          <w:rFonts w:ascii="Tahoma" w:hAnsi="Tahoma" w:cs="Tahoma"/>
          <w:b/>
          <w:sz w:val="12"/>
          <w:szCs w:val="12"/>
        </w:rPr>
      </w:pPr>
    </w:p>
    <w:p w:rsidR="00C32123" w:rsidRDefault="00C32123" w:rsidP="00C32123">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C32123">
      <w:pPr>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66A" w:rsidRDefault="00DC166A">
      <w:r>
        <w:separator/>
      </w:r>
    </w:p>
  </w:endnote>
  <w:endnote w:type="continuationSeparator" w:id="0">
    <w:p w:rsidR="00DC166A" w:rsidRDefault="00DC16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D06306"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437D6C">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D06306">
        <w:pPr>
          <w:pStyle w:val="a6"/>
          <w:jc w:val="center"/>
        </w:pPr>
        <w:fldSimple w:instr=" PAGE    \* MERGEFORMAT ">
          <w:r w:rsidR="004052DD">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66A" w:rsidRDefault="00DC166A">
      <w:r>
        <w:separator/>
      </w:r>
    </w:p>
  </w:footnote>
  <w:footnote w:type="continuationSeparator" w:id="0">
    <w:p w:rsidR="00DC166A" w:rsidRDefault="00DC1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6"/>
  </w:num>
  <w:num w:numId="6">
    <w:abstractNumId w:val="32"/>
  </w:num>
  <w:num w:numId="7">
    <w:abstractNumId w:val="10"/>
  </w:num>
  <w:num w:numId="8">
    <w:abstractNumId w:val="21"/>
  </w:num>
  <w:num w:numId="9">
    <w:abstractNumId w:val="19"/>
  </w:num>
  <w:num w:numId="10">
    <w:abstractNumId w:val="8"/>
  </w:num>
  <w:num w:numId="11">
    <w:abstractNumId w:val="18"/>
  </w:num>
  <w:num w:numId="12">
    <w:abstractNumId w:val="20"/>
  </w:num>
  <w:num w:numId="13">
    <w:abstractNumId w:val="7"/>
  </w:num>
  <w:num w:numId="14">
    <w:abstractNumId w:val="3"/>
  </w:num>
  <w:num w:numId="15">
    <w:abstractNumId w:val="29"/>
  </w:num>
  <w:num w:numId="16">
    <w:abstractNumId w:val="25"/>
  </w:num>
  <w:num w:numId="17">
    <w:abstractNumId w:val="31"/>
  </w:num>
  <w:num w:numId="18">
    <w:abstractNumId w:val="11"/>
  </w:num>
  <w:num w:numId="19">
    <w:abstractNumId w:val="24"/>
  </w:num>
  <w:num w:numId="20">
    <w:abstractNumId w:val="4"/>
  </w:num>
  <w:num w:numId="21">
    <w:abstractNumId w:val="16"/>
  </w:num>
  <w:num w:numId="22">
    <w:abstractNumId w:val="5"/>
  </w:num>
  <w:num w:numId="23">
    <w:abstractNumId w:val="27"/>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2"/>
  </w:num>
  <w:num w:numId="29">
    <w:abstractNumId w:val="30"/>
  </w:num>
  <w:num w:numId="30">
    <w:abstractNumId w:val="2"/>
  </w:num>
  <w:num w:numId="31">
    <w:abstractNumId w:val="28"/>
  </w:num>
  <w:num w:numId="32">
    <w:abstractNumId w:val="13"/>
  </w:num>
  <w:num w:numId="33">
    <w:abstractNumId w:val="17"/>
  </w:num>
  <w:num w:numId="34">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5474"/>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DD"/>
    <w:rsid w:val="004116B6"/>
    <w:rsid w:val="0041291E"/>
    <w:rsid w:val="004162A7"/>
    <w:rsid w:val="004165AB"/>
    <w:rsid w:val="00417193"/>
    <w:rsid w:val="004256C0"/>
    <w:rsid w:val="004259CC"/>
    <w:rsid w:val="00430383"/>
    <w:rsid w:val="0043047C"/>
    <w:rsid w:val="00431713"/>
    <w:rsid w:val="00432061"/>
    <w:rsid w:val="00433CD3"/>
    <w:rsid w:val="004378ED"/>
    <w:rsid w:val="00437D6C"/>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0F05"/>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76600"/>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02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56C4"/>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06306"/>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4C0D"/>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166A"/>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150DEB-0202-4E94-8156-E7ADAA552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824</Words>
  <Characters>4453</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2018-03-16T08:33:00Z</cp:lastPrinted>
  <dcterms:created xsi:type="dcterms:W3CDTF">2018-03-13T10:39:00Z</dcterms:created>
  <dcterms:modified xsi:type="dcterms:W3CDTF">2018-03-16T08:33:00Z</dcterms:modified>
</cp:coreProperties>
</file>